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8A11" w14:textId="585DA775" w:rsidR="0005364A" w:rsidRDefault="0005364A" w:rsidP="00555EDE">
      <w:pPr>
        <w:jc w:val="both"/>
      </w:pPr>
    </w:p>
    <w:p w14:paraId="11D4C156" w14:textId="77777777" w:rsidR="00E77D83" w:rsidRDefault="00E77D83" w:rsidP="00555EDE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7E0B110" w14:textId="4E007CDD" w:rsidR="00E348C4" w:rsidRDefault="00A4480A" w:rsidP="00555EDE">
      <w:pPr>
        <w:jc w:val="both"/>
        <w:rPr>
          <w:rFonts w:ascii="Calibri" w:hAnsi="Calibri"/>
          <w:b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Zahradní domek, plot i pergola: </w:t>
      </w:r>
      <w:r w:rsidR="00AA599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Jak správně ochránit zahradní dřevostavby</w:t>
      </w:r>
    </w:p>
    <w:p w14:paraId="31749D6E" w14:textId="3D8AC833" w:rsidR="00400070" w:rsidRPr="00B71FDA" w:rsidRDefault="00020196" w:rsidP="00555EDE">
      <w:pPr>
        <w:spacing w:after="0" w:line="240" w:lineRule="auto"/>
        <w:jc w:val="both"/>
        <w:rPr>
          <w:b/>
        </w:rPr>
      </w:pPr>
      <w:r w:rsidRPr="00B71FDA">
        <w:rPr>
          <w:rFonts w:ascii="Calibri" w:hAnsi="Calibri"/>
          <w:b/>
        </w:rPr>
        <w:t xml:space="preserve">Praha, </w:t>
      </w:r>
      <w:r w:rsidR="00F662D1">
        <w:rPr>
          <w:rFonts w:ascii="Calibri" w:hAnsi="Calibri"/>
          <w:b/>
        </w:rPr>
        <w:t>9</w:t>
      </w:r>
      <w:r w:rsidR="00555EDE" w:rsidRPr="00B71FDA">
        <w:rPr>
          <w:rFonts w:ascii="Calibri" w:hAnsi="Calibri"/>
          <w:b/>
        </w:rPr>
        <w:t>.</w:t>
      </w:r>
      <w:r w:rsidRPr="00B71FDA">
        <w:rPr>
          <w:rFonts w:ascii="Calibri" w:hAnsi="Calibri"/>
          <w:b/>
        </w:rPr>
        <w:t xml:space="preserve"> </w:t>
      </w:r>
      <w:r w:rsidR="00057E00">
        <w:rPr>
          <w:rFonts w:ascii="Calibri" w:hAnsi="Calibri"/>
          <w:b/>
        </w:rPr>
        <w:t>května</w:t>
      </w:r>
      <w:r w:rsidRPr="00B71FDA">
        <w:rPr>
          <w:rFonts w:ascii="Calibri" w:hAnsi="Calibri"/>
          <w:b/>
        </w:rPr>
        <w:t xml:space="preserve"> </w:t>
      </w:r>
      <w:r w:rsidR="00555EDE" w:rsidRPr="00B71FDA">
        <w:rPr>
          <w:rFonts w:ascii="Calibri" w:hAnsi="Calibri"/>
          <w:b/>
        </w:rPr>
        <w:t>201</w:t>
      </w:r>
      <w:r w:rsidR="003F4B5D" w:rsidRPr="00B71FDA">
        <w:rPr>
          <w:rFonts w:ascii="Calibri" w:hAnsi="Calibri"/>
          <w:b/>
        </w:rPr>
        <w:t>9</w:t>
      </w:r>
      <w:r w:rsidR="00B403BD" w:rsidRPr="00B71FDA">
        <w:rPr>
          <w:rFonts w:ascii="Calibri" w:hAnsi="Calibri"/>
          <w:b/>
        </w:rPr>
        <w:t xml:space="preserve"> </w:t>
      </w:r>
      <w:r w:rsidR="00555EDE" w:rsidRPr="00B71FDA">
        <w:rPr>
          <w:rFonts w:ascii="Calibri" w:hAnsi="Calibri"/>
          <w:b/>
        </w:rPr>
        <w:t>–</w:t>
      </w:r>
      <w:r w:rsidR="00B71FDA">
        <w:t xml:space="preserve"> </w:t>
      </w:r>
      <w:r w:rsidR="003F4B5D" w:rsidRPr="00B71FDA">
        <w:rPr>
          <w:b/>
        </w:rPr>
        <w:t>Pokud toužíte po krásném dřevě, je zcela na místě ho správně ošetřit</w:t>
      </w:r>
      <w:r w:rsidR="00B71FDA" w:rsidRPr="00B71FDA">
        <w:rPr>
          <w:b/>
        </w:rPr>
        <w:t xml:space="preserve"> proti UV záření, zamodrání dřeva, </w:t>
      </w:r>
      <w:r w:rsidR="00057E00">
        <w:rPr>
          <w:b/>
        </w:rPr>
        <w:t xml:space="preserve">dřevokazným </w:t>
      </w:r>
      <w:r w:rsidR="00B71FDA" w:rsidRPr="00B71FDA">
        <w:rPr>
          <w:b/>
        </w:rPr>
        <w:t xml:space="preserve">houbám, hmyzu i povětrnostním vlivům. </w:t>
      </w:r>
      <w:r w:rsidR="003F4B5D" w:rsidRPr="00B71FDA">
        <w:rPr>
          <w:b/>
        </w:rPr>
        <w:t xml:space="preserve">Základem </w:t>
      </w:r>
      <w:r w:rsidR="00400070" w:rsidRPr="00B71FDA">
        <w:rPr>
          <w:b/>
        </w:rPr>
        <w:t xml:space="preserve">je </w:t>
      </w:r>
      <w:r w:rsidR="003F4B5D" w:rsidRPr="00B71FDA">
        <w:rPr>
          <w:b/>
        </w:rPr>
        <w:t>zamyslet se nad tím</w:t>
      </w:r>
      <w:r w:rsidR="00B71FDA" w:rsidRPr="00B71FDA">
        <w:rPr>
          <w:b/>
        </w:rPr>
        <w:t>,</w:t>
      </w:r>
      <w:r w:rsidR="00400070" w:rsidRPr="00B71FDA">
        <w:rPr>
          <w:b/>
        </w:rPr>
        <w:t xml:space="preserve"> </w:t>
      </w:r>
      <w:r w:rsidR="00B71FDA" w:rsidRPr="00B71FDA">
        <w:rPr>
          <w:b/>
        </w:rPr>
        <w:t>jakého výsledného efektu</w:t>
      </w:r>
      <w:r w:rsidR="00400070" w:rsidRPr="00B71FDA">
        <w:rPr>
          <w:b/>
        </w:rPr>
        <w:t xml:space="preserve"> chceme docílit. Každý nátěr Primalex </w:t>
      </w:r>
      <w:r w:rsidR="00057E00">
        <w:rPr>
          <w:b/>
        </w:rPr>
        <w:t xml:space="preserve">určený na dřevo jej </w:t>
      </w:r>
      <w:r w:rsidR="00400070" w:rsidRPr="00B71FDA">
        <w:rPr>
          <w:b/>
        </w:rPr>
        <w:t xml:space="preserve">ochrání, výsledek </w:t>
      </w:r>
      <w:r w:rsidR="00AA599E">
        <w:rPr>
          <w:b/>
        </w:rPr>
        <w:t>však může</w:t>
      </w:r>
      <w:r w:rsidR="00400070" w:rsidRPr="00B71FDA">
        <w:rPr>
          <w:b/>
        </w:rPr>
        <w:t xml:space="preserve"> vypadat odlišně. </w:t>
      </w:r>
    </w:p>
    <w:p w14:paraId="1686930C" w14:textId="452DA5A0" w:rsidR="00C40810" w:rsidRDefault="00AA599E" w:rsidP="00555EDE">
      <w:pPr>
        <w:spacing w:after="0"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1ADAAA6" wp14:editId="51D26CC7">
            <wp:simplePos x="0" y="0"/>
            <wp:positionH relativeFrom="margin">
              <wp:posOffset>3636010</wp:posOffset>
            </wp:positionH>
            <wp:positionV relativeFrom="margin">
              <wp:posOffset>2148205</wp:posOffset>
            </wp:positionV>
            <wp:extent cx="2087245" cy="1552575"/>
            <wp:effectExtent l="0" t="0" r="825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65"/>
                    <a:stretch/>
                  </pic:blipFill>
                  <pic:spPr bwMode="auto">
                    <a:xfrm>
                      <a:off x="0" y="0"/>
                      <a:ext cx="20872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E9B057D" w14:textId="6B69E6C6" w:rsidR="00400070" w:rsidRDefault="00400070" w:rsidP="00555EDE">
      <w:pPr>
        <w:spacing w:after="0" w:line="240" w:lineRule="auto"/>
        <w:jc w:val="both"/>
      </w:pPr>
      <w:r>
        <w:t xml:space="preserve">Pokud </w:t>
      </w:r>
      <w:r w:rsidR="00A4480A">
        <w:t xml:space="preserve">upřednostňujete </w:t>
      </w:r>
      <w:r>
        <w:t>přirozen</w:t>
      </w:r>
      <w:r w:rsidR="00A4480A">
        <w:t>ou</w:t>
      </w:r>
      <w:r>
        <w:t xml:space="preserve"> kresb</w:t>
      </w:r>
      <w:r w:rsidR="00A4480A">
        <w:t>u</w:t>
      </w:r>
      <w:r>
        <w:t xml:space="preserve"> a struktur</w:t>
      </w:r>
      <w:r w:rsidR="00A4480A">
        <w:t>u</w:t>
      </w:r>
      <w:r>
        <w:t xml:space="preserve"> dřeva, volte lazurovací nátěry</w:t>
      </w:r>
      <w:r w:rsidR="00F433E2">
        <w:t xml:space="preserve"> v rozmanitých odstínech</w:t>
      </w:r>
      <w:r>
        <w:t>. Na výběr jsou lazur</w:t>
      </w:r>
      <w:r w:rsidR="00F433E2">
        <w:t>y</w:t>
      </w:r>
      <w:r>
        <w:t xml:space="preserve"> tenkovrstvé a silnovrstvé. Základním rozdílem je to, že </w:t>
      </w:r>
      <w:hyperlink r:id="rId9" w:history="1">
        <w:r w:rsidRPr="006478D8">
          <w:rPr>
            <w:rStyle w:val="Hypertextovodkaz"/>
            <w:b/>
          </w:rPr>
          <w:t>tenkovrstvá lazura</w:t>
        </w:r>
        <w:r w:rsidR="00AA599E" w:rsidRPr="006478D8">
          <w:rPr>
            <w:rStyle w:val="Hypertextovodkaz"/>
            <w:b/>
          </w:rPr>
          <w:t xml:space="preserve"> Primalex</w:t>
        </w:r>
      </w:hyperlink>
      <w:r>
        <w:t xml:space="preserve"> nezanechává</w:t>
      </w:r>
      <w:bookmarkStart w:id="0" w:name="_GoBack"/>
      <w:bookmarkEnd w:id="0"/>
      <w:r>
        <w:t xml:space="preserve"> na povrchu dřeva film a je celá vsáklá do vrchní vrstvy dřeva. Je </w:t>
      </w:r>
      <w:r w:rsidR="00F433E2">
        <w:t xml:space="preserve">tak vhodná zejména </w:t>
      </w:r>
      <w:r>
        <w:t xml:space="preserve">na konstrukční prvky kolem domu, jako jsou pergoly, trámy nebo plotové prvky. </w:t>
      </w:r>
      <w:hyperlink r:id="rId10" w:history="1">
        <w:r w:rsidRPr="006478D8">
          <w:rPr>
            <w:rStyle w:val="Hypertextovodkaz"/>
            <w:b/>
          </w:rPr>
          <w:t>Silnovrstvá lazura</w:t>
        </w:r>
      </w:hyperlink>
      <w:r>
        <w:t xml:space="preserve"> na povrchu dřeva </w:t>
      </w:r>
      <w:r w:rsidR="00F433E2">
        <w:t xml:space="preserve">zanechá </w:t>
      </w:r>
      <w:r>
        <w:t xml:space="preserve">silnější </w:t>
      </w:r>
      <w:r w:rsidR="00F433E2">
        <w:t>vrstvu</w:t>
      </w:r>
      <w:r>
        <w:t xml:space="preserve"> a vytváří tak </w:t>
      </w:r>
      <w:r w:rsidR="00F433E2">
        <w:t xml:space="preserve">ještě odolnější </w:t>
      </w:r>
      <w:r w:rsidR="007F5382">
        <w:t>bariéru proti povětrnostním vlivům. Hodí se tak na stavebně-truhlářské výrobky</w:t>
      </w:r>
      <w:r w:rsidR="00F433E2">
        <w:t>,</w:t>
      </w:r>
      <w:r w:rsidR="007F5382">
        <w:t xml:space="preserve"> jakými jsou okna a dveře. </w:t>
      </w:r>
    </w:p>
    <w:p w14:paraId="44ADB28D" w14:textId="77777777" w:rsidR="00057E00" w:rsidRDefault="00057E00" w:rsidP="00555EDE">
      <w:pPr>
        <w:spacing w:after="0" w:line="240" w:lineRule="auto"/>
        <w:jc w:val="both"/>
      </w:pPr>
    </w:p>
    <w:p w14:paraId="5249A83C" w14:textId="19179646" w:rsidR="007F5382" w:rsidRDefault="00AA599E" w:rsidP="00555EDE">
      <w:pPr>
        <w:spacing w:after="0"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9A5815B" wp14:editId="081612D3">
            <wp:simplePos x="0" y="0"/>
            <wp:positionH relativeFrom="margin">
              <wp:posOffset>24130</wp:posOffset>
            </wp:positionH>
            <wp:positionV relativeFrom="margin">
              <wp:posOffset>4100195</wp:posOffset>
            </wp:positionV>
            <wp:extent cx="1962150" cy="1574165"/>
            <wp:effectExtent l="0" t="0" r="0" b="698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9" r="10223"/>
                    <a:stretch/>
                  </pic:blipFill>
                  <pic:spPr bwMode="auto">
                    <a:xfrm>
                      <a:off x="0" y="0"/>
                      <a:ext cx="19621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382">
        <w:t xml:space="preserve">Oba typy lazur se hodí jak na nové, tak i na starší dřevo. V případě ošetření nového dřeva je však nezbytné ošetřit </w:t>
      </w:r>
      <w:r w:rsidR="00F433E2">
        <w:t xml:space="preserve">jej </w:t>
      </w:r>
      <w:r w:rsidR="007F5382">
        <w:t xml:space="preserve">i proti zamodrání dřeva a dřevokaznému hmyzu. Není však potřeba používat dva nátěry. </w:t>
      </w:r>
      <w:hyperlink r:id="rId12" w:history="1">
        <w:r w:rsidR="007F5382" w:rsidRPr="006478D8">
          <w:rPr>
            <w:rStyle w:val="Hypertextovodkaz"/>
            <w:b/>
          </w:rPr>
          <w:t xml:space="preserve">Primalex Lazura &amp; napouštědlo </w:t>
        </w:r>
        <w:r w:rsidR="00B01569" w:rsidRPr="006478D8">
          <w:rPr>
            <w:rStyle w:val="Hypertextovodkaz"/>
            <w:b/>
          </w:rPr>
          <w:t>3v1</w:t>
        </w:r>
      </w:hyperlink>
      <w:r w:rsidR="00B01569">
        <w:t xml:space="preserve"> obsahuje</w:t>
      </w:r>
      <w:r w:rsidR="00F314ED">
        <w:t xml:space="preserve"> navíc</w:t>
      </w:r>
      <w:r w:rsidR="00057E00">
        <w:t xml:space="preserve"> účinné</w:t>
      </w:r>
      <w:r w:rsidR="00B01569">
        <w:t xml:space="preserve"> fungicidní látky, které </w:t>
      </w:r>
      <w:r w:rsidR="00B01569" w:rsidRPr="00B01569">
        <w:t>pronikn</w:t>
      </w:r>
      <w:r w:rsidR="00B01569">
        <w:t>ou</w:t>
      </w:r>
      <w:r w:rsidR="00B01569" w:rsidRPr="00B01569">
        <w:t xml:space="preserve"> do hloubky dřeva</w:t>
      </w:r>
      <w:r w:rsidR="00057E00">
        <w:t xml:space="preserve"> a </w:t>
      </w:r>
      <w:r w:rsidR="00B01569" w:rsidRPr="00B01569">
        <w:t>ochrání jej před již zmíněnými škůd</w:t>
      </w:r>
      <w:r w:rsidR="00C30522">
        <w:t>cům</w:t>
      </w:r>
      <w:r w:rsidR="00057E00">
        <w:t>. Zároveň jako klasická lazura i proti</w:t>
      </w:r>
      <w:r w:rsidR="00057E00">
        <w:rPr>
          <w:rStyle w:val="Odkaznakoment"/>
        </w:rPr>
        <w:t xml:space="preserve"> </w:t>
      </w:r>
      <w:r w:rsidR="00B01569">
        <w:t xml:space="preserve">povětrnostním vlivům. </w:t>
      </w:r>
      <w:r w:rsidR="004159DD">
        <w:t xml:space="preserve">U všech typů lazur lze vybírat z velkého množství odstínů. Platí však </w:t>
      </w:r>
      <w:r w:rsidR="004159DD" w:rsidRPr="004159DD">
        <w:t>obecné pravidlo – čím světlejší odstín finální úpravy dřeva zvolíte, tím kratší bude životnost natíraného povrchu</w:t>
      </w:r>
    </w:p>
    <w:p w14:paraId="7968FD48" w14:textId="0317B94D" w:rsidR="00B01569" w:rsidRDefault="00B01569" w:rsidP="00555EDE">
      <w:pPr>
        <w:spacing w:after="0" w:line="240" w:lineRule="auto"/>
        <w:jc w:val="both"/>
      </w:pPr>
    </w:p>
    <w:p w14:paraId="148DDB30" w14:textId="46EDF6D7" w:rsidR="00B01569" w:rsidRDefault="0042744B" w:rsidP="00555EDE">
      <w:pPr>
        <w:spacing w:after="0" w:line="240" w:lineRule="auto"/>
        <w:jc w:val="both"/>
      </w:pPr>
      <w:r>
        <w:t xml:space="preserve">Pokud chcete co nejvíce zachovat původní </w:t>
      </w:r>
      <w:r w:rsidR="0092229B">
        <w:t>odstín</w:t>
      </w:r>
      <w:r>
        <w:t xml:space="preserve"> dřeva, zvolte </w:t>
      </w:r>
      <w:hyperlink r:id="rId13" w:history="1">
        <w:r w:rsidR="006478D8" w:rsidRPr="006478D8">
          <w:rPr>
            <w:rStyle w:val="Hypertextovodkaz"/>
            <w:b/>
          </w:rPr>
          <w:t>Primalex lodní</w:t>
        </w:r>
        <w:r w:rsidR="006478D8" w:rsidRPr="006478D8">
          <w:rPr>
            <w:rStyle w:val="Hypertextovodkaz"/>
          </w:rPr>
          <w:t xml:space="preserve"> </w:t>
        </w:r>
        <w:r w:rsidR="0092229B" w:rsidRPr="006478D8">
          <w:rPr>
            <w:rStyle w:val="Hypertextovodkaz"/>
            <w:b/>
          </w:rPr>
          <w:t>lak</w:t>
        </w:r>
      </w:hyperlink>
      <w:r w:rsidR="0092229B">
        <w:t>. Použití laku je obdobné jako u silnovrstvé lazury. Vhodný je tak zejména pro okna a dveře</w:t>
      </w:r>
      <w:r w:rsidR="00FA7551">
        <w:t xml:space="preserve">, na kterých </w:t>
      </w:r>
      <w:r w:rsidR="00FA7551" w:rsidRPr="00FA7551">
        <w:t>vytváří pevný a pružný povrch chránící dřevo proti</w:t>
      </w:r>
      <w:r w:rsidR="00057E00">
        <w:t xml:space="preserve"> povětrnostním vlivům. </w:t>
      </w:r>
      <w:r w:rsidR="00FA7551">
        <w:t xml:space="preserve">Další variantou jsou </w:t>
      </w:r>
      <w:hyperlink r:id="rId14" w:history="1">
        <w:r w:rsidR="00FA7551" w:rsidRPr="006478D8">
          <w:rPr>
            <w:rStyle w:val="Hypertextovodkaz"/>
            <w:b/>
          </w:rPr>
          <w:t>olejové nátěry</w:t>
        </w:r>
      </w:hyperlink>
      <w:r w:rsidR="00B71FDA">
        <w:t xml:space="preserve">, ty jsou nejvhodnější na tvrdé </w:t>
      </w:r>
      <w:r w:rsidR="00057E00">
        <w:t xml:space="preserve">a </w:t>
      </w:r>
      <w:r w:rsidR="00B71FDA">
        <w:t xml:space="preserve">exotické dřeviny, které se nejčastěji používají pro terasy a zahradní nábytek. </w:t>
      </w:r>
    </w:p>
    <w:p w14:paraId="0191A6E1" w14:textId="0A10F085" w:rsidR="00FA7551" w:rsidRDefault="00FA7551" w:rsidP="00555EDE">
      <w:pPr>
        <w:spacing w:after="0" w:line="240" w:lineRule="auto"/>
        <w:jc w:val="both"/>
      </w:pPr>
    </w:p>
    <w:p w14:paraId="74A61B5C" w14:textId="0B5E610D" w:rsidR="00FA7551" w:rsidRDefault="00C30171" w:rsidP="00555EDE">
      <w:pPr>
        <w:spacing w:after="0" w:line="240" w:lineRule="auto"/>
        <w:jc w:val="both"/>
        <w:rPr>
          <w:rFonts w:ascii="Calibri" w:hAnsi="Calibri" w:cs="Calibri"/>
          <w:color w:val="202026"/>
          <w:shd w:val="clear" w:color="auto" w:fill="FFFFFF"/>
        </w:rPr>
      </w:pPr>
      <w:r>
        <w:t xml:space="preserve">„Ať už aplikujete produkt jakýkoliv, používejte </w:t>
      </w:r>
      <w:r w:rsidR="00D90501">
        <w:t>ideálně</w:t>
      </w:r>
      <w:r>
        <w:t xml:space="preserve"> dvě vrstvy materiálu. U ošetřování nových </w:t>
      </w:r>
      <w:r w:rsidR="00AA599E">
        <w:t>dřev pak</w:t>
      </w:r>
      <w:r>
        <w:t xml:space="preserve"> až </w:t>
      </w:r>
      <w:r w:rsidR="00D90501">
        <w:t xml:space="preserve">vrstvy tři. Vždy ale záleží na tom, v jakém stavu je předmět, který se chystáme ošetřit“, radí Radek Kříž, </w:t>
      </w:r>
      <w:r w:rsidR="00D90501">
        <w:rPr>
          <w:rFonts w:ascii="Calibri" w:hAnsi="Calibri" w:cs="Calibri"/>
          <w:color w:val="202026"/>
          <w:shd w:val="clear" w:color="auto" w:fill="FFFFFF"/>
        </w:rPr>
        <w:t>Technicko-obchodní zástupce značky Primalex.</w:t>
      </w:r>
    </w:p>
    <w:p w14:paraId="17B1323C" w14:textId="3C7F29FF" w:rsidR="00D77D67" w:rsidRDefault="00D77D67" w:rsidP="00555EDE">
      <w:pPr>
        <w:spacing w:after="0" w:line="240" w:lineRule="auto"/>
        <w:jc w:val="both"/>
        <w:rPr>
          <w:rFonts w:ascii="Calibri" w:hAnsi="Calibri" w:cs="Calibri"/>
          <w:color w:val="202026"/>
          <w:shd w:val="clear" w:color="auto" w:fill="FFFFFF"/>
        </w:rPr>
      </w:pPr>
    </w:p>
    <w:p w14:paraId="67F4D3CF" w14:textId="46CD915B" w:rsidR="00D77D67" w:rsidRDefault="00D77D67" w:rsidP="00555EDE">
      <w:pPr>
        <w:spacing w:after="0" w:line="240" w:lineRule="auto"/>
        <w:jc w:val="both"/>
      </w:pPr>
      <w:r>
        <w:rPr>
          <w:rFonts w:ascii="Calibri" w:hAnsi="Calibri" w:cs="Calibri"/>
          <w:color w:val="202026"/>
          <w:shd w:val="clear" w:color="auto" w:fill="FFFFFF"/>
        </w:rPr>
        <w:t>V případě tenkovrstvých lazur je potřeba nátěr co 3 až 5 let obnovovat</w:t>
      </w:r>
      <w:r w:rsidR="00A4480A">
        <w:rPr>
          <w:rFonts w:ascii="Calibri" w:hAnsi="Calibri" w:cs="Calibri"/>
          <w:color w:val="202026"/>
          <w:shd w:val="clear" w:color="auto" w:fill="FFFFFF"/>
        </w:rPr>
        <w:t>. S</w:t>
      </w:r>
      <w:r>
        <w:rPr>
          <w:rFonts w:ascii="Calibri" w:hAnsi="Calibri" w:cs="Calibri"/>
          <w:color w:val="202026"/>
          <w:shd w:val="clear" w:color="auto" w:fill="FFFFFF"/>
        </w:rPr>
        <w:t xml:space="preserve">ilnovrstvé lazury a </w:t>
      </w:r>
      <w:r w:rsidR="00F42F68">
        <w:rPr>
          <w:rFonts w:ascii="Calibri" w:hAnsi="Calibri" w:cs="Calibri"/>
          <w:color w:val="202026"/>
          <w:shd w:val="clear" w:color="auto" w:fill="FFFFFF"/>
        </w:rPr>
        <w:t>laky</w:t>
      </w:r>
      <w:r>
        <w:rPr>
          <w:rFonts w:ascii="Calibri" w:hAnsi="Calibri" w:cs="Calibri"/>
          <w:color w:val="202026"/>
          <w:shd w:val="clear" w:color="auto" w:fill="FFFFFF"/>
        </w:rPr>
        <w:t xml:space="preserve"> vytváří bariéru a ochranu větší a</w:t>
      </w:r>
      <w:r w:rsidR="00F42F68" w:rsidRPr="00F42F68">
        <w:rPr>
          <w:rFonts w:ascii="Calibri" w:hAnsi="Calibri" w:cs="Calibri"/>
          <w:color w:val="202026"/>
          <w:shd w:val="clear" w:color="auto" w:fill="FFFFFF"/>
        </w:rPr>
        <w:t xml:space="preserve"> </w:t>
      </w:r>
      <w:r w:rsidR="00F42F68">
        <w:rPr>
          <w:rFonts w:ascii="Calibri" w:hAnsi="Calibri" w:cs="Calibri"/>
          <w:color w:val="202026"/>
          <w:shd w:val="clear" w:color="auto" w:fill="FFFFFF"/>
        </w:rPr>
        <w:t>nátěr tak</w:t>
      </w:r>
      <w:r>
        <w:rPr>
          <w:rFonts w:ascii="Calibri" w:hAnsi="Calibri" w:cs="Calibri"/>
          <w:color w:val="202026"/>
          <w:shd w:val="clear" w:color="auto" w:fill="FFFFFF"/>
        </w:rPr>
        <w:t xml:space="preserve"> stačí aplikovat co 5 až 8 let. Vše ale záleží na konkrétním konstrukčním řešení, umístění a povětrnostním vlivům. </w:t>
      </w:r>
      <w:r w:rsidR="00F42F68">
        <w:rPr>
          <w:rFonts w:ascii="Calibri" w:hAnsi="Calibri" w:cs="Calibri"/>
          <w:color w:val="202026"/>
          <w:shd w:val="clear" w:color="auto" w:fill="FFFFFF"/>
        </w:rPr>
        <w:t xml:space="preserve">„V případě olejů </w:t>
      </w:r>
      <w:r w:rsidR="00057E00">
        <w:rPr>
          <w:rFonts w:ascii="Calibri" w:hAnsi="Calibri" w:cs="Calibri"/>
          <w:color w:val="202026"/>
          <w:shd w:val="clear" w:color="auto" w:fill="FFFFFF"/>
        </w:rPr>
        <w:t xml:space="preserve">na terasách </w:t>
      </w:r>
      <w:r w:rsidR="00A4480A">
        <w:rPr>
          <w:rFonts w:ascii="Calibri" w:hAnsi="Calibri" w:cs="Calibri"/>
          <w:color w:val="202026"/>
          <w:shd w:val="clear" w:color="auto" w:fill="FFFFFF"/>
        </w:rPr>
        <w:t>bývá</w:t>
      </w:r>
      <w:r w:rsidR="00F42F68">
        <w:rPr>
          <w:rFonts w:ascii="Calibri" w:hAnsi="Calibri" w:cs="Calibri"/>
          <w:color w:val="202026"/>
          <w:shd w:val="clear" w:color="auto" w:fill="FFFFFF"/>
        </w:rPr>
        <w:t xml:space="preserve"> mechanické namáhání větší, povětrnostní vlivy na ně přímo působí, často na nich leží voda. Nátěr </w:t>
      </w:r>
      <w:r w:rsidR="00A4480A">
        <w:rPr>
          <w:rFonts w:ascii="Calibri" w:hAnsi="Calibri" w:cs="Calibri"/>
          <w:color w:val="202026"/>
          <w:shd w:val="clear" w:color="auto" w:fill="FFFFFF"/>
        </w:rPr>
        <w:t xml:space="preserve">u terasových prken a zahradního nábytku </w:t>
      </w:r>
      <w:r w:rsidR="00F42F68">
        <w:rPr>
          <w:rFonts w:ascii="Calibri" w:hAnsi="Calibri" w:cs="Calibri"/>
          <w:color w:val="202026"/>
          <w:shd w:val="clear" w:color="auto" w:fill="FFFFFF"/>
        </w:rPr>
        <w:t xml:space="preserve">je </w:t>
      </w:r>
      <w:r w:rsidR="00A4480A">
        <w:rPr>
          <w:rFonts w:ascii="Calibri" w:hAnsi="Calibri" w:cs="Calibri"/>
          <w:color w:val="202026"/>
          <w:shd w:val="clear" w:color="auto" w:fill="FFFFFF"/>
        </w:rPr>
        <w:t>vhodné</w:t>
      </w:r>
      <w:r w:rsidR="00F42F68">
        <w:rPr>
          <w:rFonts w:ascii="Calibri" w:hAnsi="Calibri" w:cs="Calibri"/>
          <w:color w:val="202026"/>
          <w:shd w:val="clear" w:color="auto" w:fill="FFFFFF"/>
        </w:rPr>
        <w:t xml:space="preserve"> </w:t>
      </w:r>
      <w:r w:rsidR="00A4480A">
        <w:rPr>
          <w:rFonts w:ascii="Calibri" w:hAnsi="Calibri" w:cs="Calibri"/>
          <w:color w:val="202026"/>
          <w:shd w:val="clear" w:color="auto" w:fill="FFFFFF"/>
        </w:rPr>
        <w:t>obnovovat</w:t>
      </w:r>
      <w:r w:rsidR="00F42F68">
        <w:rPr>
          <w:rFonts w:ascii="Calibri" w:hAnsi="Calibri" w:cs="Calibri"/>
          <w:color w:val="202026"/>
          <w:shd w:val="clear" w:color="auto" w:fill="FFFFFF"/>
        </w:rPr>
        <w:t xml:space="preserve"> každý rok,“ doplňuje Radek Kříž. </w:t>
      </w:r>
    </w:p>
    <w:p w14:paraId="2A70F13D" w14:textId="77777777" w:rsidR="00B01569" w:rsidRDefault="00B01569" w:rsidP="00555EDE">
      <w:pPr>
        <w:spacing w:after="0" w:line="240" w:lineRule="auto"/>
        <w:jc w:val="both"/>
      </w:pPr>
    </w:p>
    <w:p w14:paraId="05D26A82" w14:textId="5EE76717" w:rsidR="00F42F68" w:rsidRDefault="00F42F68" w:rsidP="00555EDE">
      <w:pPr>
        <w:spacing w:line="276" w:lineRule="auto"/>
        <w:jc w:val="both"/>
      </w:pPr>
    </w:p>
    <w:p w14:paraId="3C0CE79C" w14:textId="77777777" w:rsidR="00F42F68" w:rsidRDefault="00F42F68" w:rsidP="00555EDE">
      <w:pPr>
        <w:spacing w:line="276" w:lineRule="auto"/>
        <w:jc w:val="both"/>
      </w:pPr>
    </w:p>
    <w:p w14:paraId="72404FFD" w14:textId="08D06C06" w:rsidR="001313BD" w:rsidRPr="00981241" w:rsidRDefault="000A5BCB" w:rsidP="00555EDE">
      <w:pPr>
        <w:spacing w:line="276" w:lineRule="auto"/>
        <w:jc w:val="both"/>
        <w:rPr>
          <w:rFonts w:ascii="Calibri" w:eastAsia="Times New Roman" w:hAnsi="Calibri" w:cs="Calibri"/>
          <w:b/>
          <w:color w:val="2E74B5" w:themeColor="accent1" w:themeShade="BF"/>
          <w:szCs w:val="28"/>
          <w:lang w:eastAsia="cs-CZ"/>
        </w:rPr>
      </w:pPr>
      <w:r w:rsidRPr="00981241">
        <w:rPr>
          <w:rFonts w:ascii="Calibri" w:eastAsia="Times New Roman" w:hAnsi="Calibri" w:cs="Calibri"/>
          <w:b/>
          <w:color w:val="2E74B5" w:themeColor="accent1" w:themeShade="BF"/>
          <w:szCs w:val="28"/>
          <w:lang w:eastAsia="cs-CZ"/>
        </w:rPr>
        <w:t xml:space="preserve">O </w:t>
      </w:r>
      <w:r w:rsidR="001313BD" w:rsidRPr="00981241">
        <w:rPr>
          <w:rFonts w:ascii="Calibri" w:eastAsia="Times New Roman" w:hAnsi="Calibri" w:cs="Calibri"/>
          <w:b/>
          <w:color w:val="2E74B5" w:themeColor="accent1" w:themeShade="BF"/>
          <w:szCs w:val="28"/>
          <w:lang w:eastAsia="cs-CZ"/>
        </w:rPr>
        <w:t>značce Primalex</w:t>
      </w:r>
    </w:p>
    <w:p w14:paraId="58E5B9F7" w14:textId="07D718B3" w:rsidR="001313BD" w:rsidRPr="001313BD" w:rsidRDefault="001313BD" w:rsidP="00555EDE">
      <w:pPr>
        <w:spacing w:line="276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1313BD">
        <w:rPr>
          <w:rFonts w:ascii="Calibri" w:eastAsia="Times New Roman" w:hAnsi="Calibri" w:cs="Calibri"/>
          <w:szCs w:val="24"/>
          <w:lang w:eastAsia="cs-CZ"/>
        </w:rPr>
        <w:t xml:space="preserve">Základem sortimentu značky Primalex jsou malířské nátěry, které si získaly oblibu jednoduchou aplikací, </w:t>
      </w:r>
      <w:r>
        <w:rPr>
          <w:rFonts w:ascii="Calibri" w:eastAsia="Times New Roman" w:hAnsi="Calibri" w:cs="Calibri"/>
          <w:szCs w:val="24"/>
          <w:lang w:eastAsia="cs-CZ"/>
        </w:rPr>
        <w:t>velkým výběrem</w:t>
      </w:r>
      <w:r w:rsidRPr="001313BD">
        <w:rPr>
          <w:rFonts w:ascii="Calibri" w:eastAsia="Times New Roman" w:hAnsi="Calibri" w:cs="Calibri"/>
          <w:szCs w:val="24"/>
          <w:lang w:eastAsia="cs-CZ"/>
        </w:rPr>
        <w:t xml:space="preserve"> druhů</w:t>
      </w:r>
      <w:r w:rsidR="00B60864">
        <w:rPr>
          <w:rFonts w:ascii="Calibri" w:eastAsia="Times New Roman" w:hAnsi="Calibri" w:cs="Calibri"/>
          <w:szCs w:val="24"/>
          <w:lang w:eastAsia="cs-CZ"/>
        </w:rPr>
        <w:t>,</w:t>
      </w:r>
      <w:r w:rsidRPr="001313BD">
        <w:rPr>
          <w:rFonts w:ascii="Calibri" w:eastAsia="Times New Roman" w:hAnsi="Calibri" w:cs="Calibri"/>
          <w:szCs w:val="24"/>
          <w:lang w:eastAsia="cs-CZ"/>
        </w:rPr>
        <w:t xml:space="preserve">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1313BD">
        <w:rPr>
          <w:rFonts w:ascii="Calibri" w:eastAsia="Times New Roman" w:hAnsi="Calibri" w:cs="Calibri"/>
          <w:szCs w:val="24"/>
          <w:lang w:eastAsia="cs-CZ"/>
        </w:rPr>
        <w:t>IQNet</w:t>
      </w:r>
      <w:proofErr w:type="spellEnd"/>
      <w:r w:rsidRPr="001313BD">
        <w:rPr>
          <w:rFonts w:ascii="Calibri" w:eastAsia="Times New Roman" w:hAnsi="Calibri" w:cs="Calibri"/>
          <w:szCs w:val="24"/>
          <w:lang w:eastAsia="cs-CZ"/>
        </w:rPr>
        <w:t xml:space="preserve">. Primalex dodává na trh kompletní spektrum nátěrových hmot zahrnující vnitřní malířské nátěry, fasádní barvy, omítky, barvy na </w:t>
      </w:r>
      <w:r>
        <w:rPr>
          <w:rFonts w:ascii="Calibri" w:eastAsia="Times New Roman" w:hAnsi="Calibri" w:cs="Calibri"/>
          <w:szCs w:val="24"/>
          <w:lang w:eastAsia="cs-CZ"/>
        </w:rPr>
        <w:t>kov a dřevo, zateplovací systém a</w:t>
      </w:r>
      <w:r w:rsidRPr="001313BD">
        <w:rPr>
          <w:rFonts w:ascii="Calibri" w:eastAsia="Times New Roman" w:hAnsi="Calibri" w:cs="Calibri"/>
          <w:szCs w:val="24"/>
          <w:lang w:eastAsia="cs-CZ"/>
        </w:rPr>
        <w:t xml:space="preserve"> prostředky na úpravu podkladu</w:t>
      </w:r>
      <w:r>
        <w:rPr>
          <w:rFonts w:ascii="Calibri" w:eastAsia="Times New Roman" w:hAnsi="Calibri" w:cs="Calibri"/>
          <w:szCs w:val="24"/>
          <w:lang w:eastAsia="cs-CZ"/>
        </w:rPr>
        <w:t>. D</w:t>
      </w:r>
      <w:r w:rsidRPr="001313BD">
        <w:rPr>
          <w:rFonts w:ascii="Calibri" w:eastAsia="Times New Roman" w:hAnsi="Calibri" w:cs="Calibri"/>
          <w:szCs w:val="24"/>
          <w:lang w:eastAsia="cs-CZ"/>
        </w:rPr>
        <w:t xml:space="preserve">isponuje sítí přibližně 300 </w:t>
      </w:r>
      <w:r w:rsidR="00E909BF">
        <w:rPr>
          <w:rFonts w:ascii="Calibri" w:eastAsia="Times New Roman" w:hAnsi="Calibri" w:cs="Calibri"/>
          <w:szCs w:val="24"/>
          <w:lang w:eastAsia="cs-CZ"/>
        </w:rPr>
        <w:t>Tónovacích</w:t>
      </w:r>
      <w:r w:rsidRPr="001313BD">
        <w:rPr>
          <w:rFonts w:ascii="Calibri" w:eastAsia="Times New Roman" w:hAnsi="Calibri" w:cs="Calibri"/>
          <w:szCs w:val="24"/>
          <w:lang w:eastAsia="cs-CZ"/>
        </w:rPr>
        <w:t xml:space="preserve">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 a fasádní nátěry, omítky a barvy na kov </w:t>
      </w:r>
      <w:r w:rsidR="003B1FC3">
        <w:rPr>
          <w:rFonts w:ascii="Calibri" w:eastAsia="Times New Roman" w:hAnsi="Calibri" w:cs="Calibri"/>
          <w:szCs w:val="24"/>
          <w:lang w:eastAsia="cs-CZ"/>
        </w:rPr>
        <w:br/>
      </w:r>
      <w:r w:rsidRPr="001313BD">
        <w:rPr>
          <w:rFonts w:ascii="Calibri" w:eastAsia="Times New Roman" w:hAnsi="Calibri" w:cs="Calibri"/>
          <w:szCs w:val="24"/>
          <w:lang w:eastAsia="cs-CZ"/>
        </w:rPr>
        <w:t>a dřevo.</w:t>
      </w:r>
    </w:p>
    <w:p w14:paraId="2F37CCF8" w14:textId="5E3242F4" w:rsidR="000A5BCB" w:rsidRPr="00981241" w:rsidRDefault="001313BD" w:rsidP="00555EDE">
      <w:pPr>
        <w:spacing w:line="276" w:lineRule="auto"/>
        <w:jc w:val="both"/>
        <w:rPr>
          <w:rFonts w:ascii="Calibri" w:eastAsia="Times New Roman" w:hAnsi="Calibri" w:cs="Calibri"/>
          <w:b/>
          <w:color w:val="2E74B5" w:themeColor="accent1" w:themeShade="BF"/>
          <w:szCs w:val="28"/>
          <w:lang w:eastAsia="cs-CZ"/>
        </w:rPr>
      </w:pPr>
      <w:r w:rsidRPr="00981241">
        <w:rPr>
          <w:rFonts w:ascii="Calibri" w:eastAsia="Times New Roman" w:hAnsi="Calibri" w:cs="Calibri"/>
          <w:b/>
          <w:color w:val="2E74B5" w:themeColor="accent1" w:themeShade="BF"/>
          <w:szCs w:val="28"/>
          <w:lang w:eastAsia="cs-CZ"/>
        </w:rPr>
        <w:t xml:space="preserve">O </w:t>
      </w:r>
      <w:r w:rsidR="000A5BCB" w:rsidRPr="00981241">
        <w:rPr>
          <w:rFonts w:ascii="Calibri" w:eastAsia="Times New Roman" w:hAnsi="Calibri" w:cs="Calibri"/>
          <w:b/>
          <w:color w:val="2E74B5" w:themeColor="accent1" w:themeShade="BF"/>
          <w:szCs w:val="28"/>
          <w:lang w:eastAsia="cs-CZ"/>
        </w:rPr>
        <w:t xml:space="preserve">skupině PPG </w:t>
      </w:r>
    </w:p>
    <w:p w14:paraId="5FDFF503" w14:textId="539C467D" w:rsidR="000A5BCB" w:rsidRPr="002F300D" w:rsidRDefault="000A5BCB" w:rsidP="00555EDE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2F300D">
        <w:rPr>
          <w:rFonts w:ascii="Calibri" w:hAnsi="Calibri" w:cs="Calibri"/>
          <w:sz w:val="22"/>
          <w:szCs w:val="24"/>
        </w:rPr>
        <w:t xml:space="preserve">Vizí společnosti PPG je i nadále zůstat předním světovým výrobcem nátěrových hmot a dalších speciálních </w:t>
      </w:r>
      <w:r>
        <w:rPr>
          <w:rFonts w:ascii="Calibri" w:hAnsi="Calibri" w:cs="Calibri"/>
          <w:sz w:val="22"/>
          <w:szCs w:val="24"/>
        </w:rPr>
        <w:t>produktů</w:t>
      </w:r>
      <w:r w:rsidRPr="002F300D">
        <w:rPr>
          <w:rFonts w:ascii="Calibri" w:hAnsi="Calibri" w:cs="Calibri"/>
          <w:sz w:val="22"/>
          <w:szCs w:val="24"/>
        </w:rPr>
        <w:t>, které zákazníkům pomáhají chránit a zkrášlovat jejich</w:t>
      </w:r>
      <w:r w:rsidR="001313BD">
        <w:rPr>
          <w:rFonts w:ascii="Calibri" w:hAnsi="Calibri" w:cs="Calibri"/>
          <w:sz w:val="22"/>
          <w:szCs w:val="24"/>
        </w:rPr>
        <w:t xml:space="preserve"> vlastní</w:t>
      </w:r>
      <w:r w:rsidRPr="002F300D">
        <w:rPr>
          <w:rFonts w:ascii="Calibri" w:hAnsi="Calibri" w:cs="Calibri"/>
          <w:sz w:val="22"/>
          <w:szCs w:val="24"/>
        </w:rPr>
        <w:t xml:space="preserve"> výrobky i okolí. Díky inovacím, úsilí o udržitelný rozvoj a kompetenci v oblasti barev pomáhá PPG svým zákazníkům v průmyslu, dopravě, výrobě spotřebního zboží a na trhu autopříslušenství vylepšovat více povrchů různými způsoby než kterákoli jiná společnost. Společnost PPG byla založena v roc</w:t>
      </w:r>
      <w:r>
        <w:rPr>
          <w:rFonts w:ascii="Calibri" w:hAnsi="Calibri" w:cs="Calibri"/>
          <w:sz w:val="22"/>
          <w:szCs w:val="24"/>
        </w:rPr>
        <w:t xml:space="preserve">e 1883, její centrála má sídlo </w:t>
      </w:r>
      <w:r w:rsidRPr="002F300D">
        <w:rPr>
          <w:rFonts w:ascii="Calibri" w:hAnsi="Calibri" w:cs="Calibri"/>
          <w:sz w:val="22"/>
          <w:szCs w:val="24"/>
        </w:rPr>
        <w:t xml:space="preserve">v Pittsburghu a působí v téměř 70 zemích po celém světě. Akcie společnosti PPG jsou obchodovány na New York </w:t>
      </w:r>
      <w:proofErr w:type="spellStart"/>
      <w:r w:rsidRPr="002F300D">
        <w:rPr>
          <w:rFonts w:ascii="Calibri" w:hAnsi="Calibri" w:cs="Calibri"/>
          <w:sz w:val="22"/>
          <w:szCs w:val="24"/>
        </w:rPr>
        <w:t>Stock</w:t>
      </w:r>
      <w:proofErr w:type="spellEnd"/>
      <w:r w:rsidRPr="002F300D">
        <w:rPr>
          <w:rFonts w:ascii="Calibri" w:hAnsi="Calibri" w:cs="Calibri"/>
          <w:sz w:val="22"/>
          <w:szCs w:val="24"/>
        </w:rPr>
        <w:t xml:space="preserve"> Exchange (symbol: PPG).</w:t>
      </w:r>
    </w:p>
    <w:p w14:paraId="2DC76FA6" w14:textId="77777777" w:rsidR="000A5BCB" w:rsidRPr="002F300D" w:rsidRDefault="000A5BCB" w:rsidP="00555EDE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231CFB05" w14:textId="33767D7E" w:rsidR="004A24D4" w:rsidRDefault="000A5BCB" w:rsidP="007E21D2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2F300D">
        <w:rPr>
          <w:rFonts w:ascii="Calibri" w:hAnsi="Calibri" w:cs="Calibri"/>
          <w:sz w:val="22"/>
          <w:szCs w:val="24"/>
        </w:rPr>
        <w:t xml:space="preserve">Podrobnější informace získáte na </w:t>
      </w:r>
      <w:hyperlink r:id="rId15" w:history="1">
        <w:r w:rsidR="00E37B0F" w:rsidRPr="00054B6D">
          <w:rPr>
            <w:rStyle w:val="Hypertextovodkaz"/>
            <w:rFonts w:ascii="Calibri" w:hAnsi="Calibri" w:cs="Calibri"/>
            <w:sz w:val="22"/>
            <w:szCs w:val="24"/>
          </w:rPr>
          <w:t>www.primalex.cz</w:t>
        </w:r>
      </w:hyperlink>
      <w:r w:rsidR="00E37B0F">
        <w:rPr>
          <w:rFonts w:ascii="Calibri" w:hAnsi="Calibri" w:cs="Calibri"/>
          <w:sz w:val="22"/>
          <w:szCs w:val="24"/>
        </w:rPr>
        <w:t xml:space="preserve">, </w:t>
      </w:r>
      <w:hyperlink r:id="rId16" w:history="1">
        <w:r w:rsidR="00E37B0F" w:rsidRPr="00054B6D">
          <w:rPr>
            <w:rStyle w:val="Hypertextovodkaz"/>
            <w:rFonts w:ascii="Calibri" w:hAnsi="Calibri" w:cs="Calibri"/>
            <w:sz w:val="22"/>
            <w:szCs w:val="24"/>
          </w:rPr>
          <w:t>www.ppg.com</w:t>
        </w:r>
      </w:hyperlink>
      <w:r w:rsidR="00E37B0F">
        <w:rPr>
          <w:rFonts w:ascii="Calibri" w:hAnsi="Calibri" w:cs="Calibri"/>
          <w:sz w:val="22"/>
          <w:szCs w:val="24"/>
        </w:rPr>
        <w:t xml:space="preserve"> </w:t>
      </w:r>
      <w:r w:rsidRPr="002F300D">
        <w:rPr>
          <w:rFonts w:ascii="Calibri" w:hAnsi="Calibri" w:cs="Calibri"/>
          <w:sz w:val="22"/>
          <w:szCs w:val="24"/>
        </w:rPr>
        <w:t>nebo na Twitteru (@</w:t>
      </w:r>
      <w:proofErr w:type="spellStart"/>
      <w:r w:rsidRPr="002F300D">
        <w:rPr>
          <w:rFonts w:ascii="Calibri" w:hAnsi="Calibri" w:cs="Calibri"/>
          <w:sz w:val="22"/>
          <w:szCs w:val="24"/>
        </w:rPr>
        <w:t>PPGIndustries</w:t>
      </w:r>
      <w:proofErr w:type="spellEnd"/>
      <w:r w:rsidRPr="002F300D">
        <w:rPr>
          <w:rFonts w:ascii="Calibri" w:hAnsi="Calibri" w:cs="Calibri"/>
          <w:sz w:val="22"/>
          <w:szCs w:val="24"/>
        </w:rPr>
        <w:t>)</w:t>
      </w:r>
    </w:p>
    <w:p w14:paraId="63B920DD" w14:textId="77777777" w:rsidR="007E21D2" w:rsidRPr="007E21D2" w:rsidRDefault="007E21D2" w:rsidP="007E21D2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563407B6" w14:textId="29D6A7C3" w:rsidR="00C241F0" w:rsidRDefault="00C241F0" w:rsidP="00555EDE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A46B83">
        <w:rPr>
          <w:rFonts w:ascii="Calibri" w:hAnsi="Calibri" w:cs="Calibri"/>
          <w:b/>
          <w:sz w:val="22"/>
          <w:szCs w:val="22"/>
        </w:rPr>
        <w:t>Pro více informací, prosím, kontaktujte:</w:t>
      </w:r>
    </w:p>
    <w:p w14:paraId="2518B1C7" w14:textId="77777777" w:rsidR="00C241F0" w:rsidRPr="00A46B83" w:rsidRDefault="00C241F0" w:rsidP="00555EDE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363773E7" w14:textId="4E3399FA" w:rsidR="006B5CA9" w:rsidRPr="00EF4507" w:rsidRDefault="006B5CA9" w:rsidP="00555EDE">
      <w:pPr>
        <w:pStyle w:val="Bezmezer"/>
      </w:pPr>
      <w:r w:rsidRPr="00981241">
        <w:rPr>
          <w:b/>
          <w:color w:val="2E74B5" w:themeColor="accent1" w:themeShade="BF"/>
        </w:rPr>
        <w:t>Petr</w:t>
      </w:r>
      <w:r w:rsidR="00555EDE">
        <w:rPr>
          <w:b/>
          <w:color w:val="2E74B5" w:themeColor="accent1" w:themeShade="BF"/>
        </w:rPr>
        <w:t xml:space="preserve"> </w:t>
      </w:r>
      <w:r w:rsidRPr="00981241">
        <w:rPr>
          <w:b/>
          <w:color w:val="2E74B5" w:themeColor="accent1" w:themeShade="BF"/>
        </w:rPr>
        <w:t>Kavalír</w:t>
      </w:r>
      <w:r w:rsidRPr="00EF4507">
        <w:rPr>
          <w:b/>
          <w:color w:val="948A54"/>
        </w:rPr>
        <w:br/>
      </w:r>
      <w:r w:rsidRPr="000C7F38">
        <w:t xml:space="preserve">PPG </w:t>
      </w:r>
      <w:r>
        <w:t>DECO CZECH</w:t>
      </w:r>
    </w:p>
    <w:p w14:paraId="08664654" w14:textId="77777777" w:rsidR="006B5CA9" w:rsidRPr="00EF4507" w:rsidRDefault="006B5CA9" w:rsidP="00555EDE">
      <w:pPr>
        <w:pStyle w:val="Bezmezer"/>
        <w:jc w:val="both"/>
      </w:pPr>
      <w:r w:rsidRPr="00EF4507">
        <w:t>Brand Marketing Manager</w:t>
      </w:r>
    </w:p>
    <w:p w14:paraId="56A4BD16" w14:textId="77777777" w:rsidR="006B5CA9" w:rsidRPr="00EF4507" w:rsidRDefault="006B5CA9" w:rsidP="00555EDE">
      <w:pPr>
        <w:pStyle w:val="Bezmezer"/>
        <w:jc w:val="both"/>
      </w:pPr>
      <w:r w:rsidRPr="00EF4507">
        <w:t>Tel.: +420 222 333 717</w:t>
      </w:r>
    </w:p>
    <w:p w14:paraId="08F6D428" w14:textId="77777777" w:rsidR="006B5CA9" w:rsidRPr="00EF4507" w:rsidRDefault="006B5CA9" w:rsidP="00555EDE">
      <w:pPr>
        <w:pStyle w:val="Bezmezer"/>
        <w:jc w:val="both"/>
      </w:pPr>
      <w:r w:rsidRPr="00EF4507">
        <w:t>Mob.: +420 737 285 977</w:t>
      </w:r>
    </w:p>
    <w:p w14:paraId="0035A9DF" w14:textId="77777777" w:rsidR="006B5CA9" w:rsidRPr="00EF4507" w:rsidRDefault="006B5CA9" w:rsidP="00555EDE">
      <w:pPr>
        <w:pStyle w:val="Bezmezer"/>
        <w:jc w:val="both"/>
        <w:rPr>
          <w:rFonts w:cs="Arial"/>
          <w:bCs/>
          <w:color w:val="0000FF"/>
          <w:u w:val="single"/>
        </w:rPr>
      </w:pPr>
      <w:r w:rsidRPr="0091499D">
        <w:rPr>
          <w:rFonts w:eastAsia="Times New Roman"/>
          <w:lang w:eastAsia="cs-CZ"/>
        </w:rPr>
        <w:t>E</w:t>
      </w:r>
      <w:r>
        <w:rPr>
          <w:rFonts w:eastAsia="Times New Roman"/>
          <w:lang w:eastAsia="cs-CZ"/>
        </w:rPr>
        <w:t>-</w:t>
      </w:r>
      <w:r w:rsidRPr="0091499D">
        <w:rPr>
          <w:rFonts w:eastAsia="Times New Roman"/>
          <w:lang w:eastAsia="cs-CZ"/>
        </w:rPr>
        <w:t>mail:</w:t>
      </w:r>
      <w:r>
        <w:rPr>
          <w:rStyle w:val="Hypertextovodkaz"/>
          <w:rFonts w:ascii="Calibri" w:hAnsi="Calibri" w:cs="Arial"/>
          <w:bCs/>
        </w:rPr>
        <w:t xml:space="preserve"> </w:t>
      </w:r>
      <w:r w:rsidRPr="00EF4507">
        <w:rPr>
          <w:rStyle w:val="Hypertextovodkaz"/>
          <w:rFonts w:ascii="Calibri" w:hAnsi="Calibri" w:cs="Arial"/>
          <w:bCs/>
        </w:rPr>
        <w:t>petr.kavalir@ppg.com</w:t>
      </w:r>
    </w:p>
    <w:p w14:paraId="20FC574F" w14:textId="77777777" w:rsidR="00E37B0F" w:rsidRDefault="00E37B0F" w:rsidP="00555EDE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color w:val="2E74B5" w:themeColor="accent1" w:themeShade="BF"/>
          <w:sz w:val="22"/>
          <w:szCs w:val="22"/>
        </w:rPr>
      </w:pPr>
    </w:p>
    <w:p w14:paraId="67CA5D95" w14:textId="12675389" w:rsidR="00C241F0" w:rsidRPr="00A46B83" w:rsidRDefault="00C241F0" w:rsidP="00555EDE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color w:val="2E74B5" w:themeColor="accent1" w:themeShade="BF"/>
          <w:sz w:val="22"/>
          <w:szCs w:val="22"/>
        </w:rPr>
      </w:pPr>
      <w:r w:rsidRPr="00A46B83">
        <w:rPr>
          <w:rFonts w:ascii="Calibri" w:hAnsi="Calibri" w:cs="Calibri"/>
          <w:b/>
          <w:color w:val="2E74B5" w:themeColor="accent1" w:themeShade="BF"/>
          <w:sz w:val="22"/>
          <w:szCs w:val="22"/>
        </w:rPr>
        <w:t>Lucie Krejbichová</w:t>
      </w:r>
    </w:p>
    <w:p w14:paraId="59750846" w14:textId="77777777" w:rsidR="00C241F0" w:rsidRPr="00A46B83" w:rsidRDefault="00C241F0" w:rsidP="00555EDE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A46B83">
        <w:rPr>
          <w:rFonts w:ascii="Calibri" w:hAnsi="Calibri" w:cs="Calibri"/>
          <w:sz w:val="22"/>
          <w:szCs w:val="22"/>
        </w:rPr>
        <w:t>doblogoo</w:t>
      </w:r>
      <w:proofErr w:type="spellEnd"/>
      <w:r w:rsidRPr="00A46B83">
        <w:rPr>
          <w:rFonts w:ascii="Calibri" w:hAnsi="Calibri" w:cs="Calibri"/>
          <w:sz w:val="22"/>
          <w:szCs w:val="22"/>
        </w:rPr>
        <w:t xml:space="preserve"> s.r.o.</w:t>
      </w:r>
    </w:p>
    <w:p w14:paraId="79CB5BE3" w14:textId="77777777" w:rsidR="00C241F0" w:rsidRPr="00A46B83" w:rsidRDefault="00C241F0" w:rsidP="00555EDE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A46B83">
        <w:rPr>
          <w:rFonts w:ascii="Calibri" w:hAnsi="Calibri" w:cs="Calibri"/>
          <w:sz w:val="22"/>
          <w:szCs w:val="22"/>
        </w:rPr>
        <w:t>Account</w:t>
      </w:r>
      <w:proofErr w:type="spellEnd"/>
      <w:r w:rsidRPr="00A46B83">
        <w:rPr>
          <w:rFonts w:ascii="Calibri" w:hAnsi="Calibri" w:cs="Calibri"/>
          <w:sz w:val="22"/>
          <w:szCs w:val="22"/>
        </w:rPr>
        <w:t xml:space="preserve"> Manager</w:t>
      </w:r>
    </w:p>
    <w:p w14:paraId="09911A57" w14:textId="16A7C1E3" w:rsidR="00C241F0" w:rsidRPr="00A46B83" w:rsidRDefault="00C241F0" w:rsidP="00555EDE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r w:rsidRPr="00A46B83">
        <w:rPr>
          <w:rFonts w:ascii="Calibri" w:hAnsi="Calibri" w:cs="Calibri"/>
          <w:sz w:val="22"/>
          <w:szCs w:val="22"/>
        </w:rPr>
        <w:t>Mobil: +420</w:t>
      </w:r>
      <w:r w:rsidR="00B46E6A">
        <w:rPr>
          <w:rFonts w:ascii="Calibri" w:hAnsi="Calibri" w:cs="Calibri"/>
          <w:sz w:val="22"/>
          <w:szCs w:val="22"/>
        </w:rPr>
        <w:t xml:space="preserve"> </w:t>
      </w:r>
      <w:r w:rsidRPr="00A46B83">
        <w:rPr>
          <w:rFonts w:ascii="Calibri" w:hAnsi="Calibri" w:cs="Calibri"/>
          <w:sz w:val="22"/>
          <w:szCs w:val="22"/>
        </w:rPr>
        <w:t>602</w:t>
      </w:r>
      <w:r w:rsidR="007937E3">
        <w:rPr>
          <w:rFonts w:ascii="Calibri" w:hAnsi="Calibri" w:cs="Calibri"/>
          <w:sz w:val="22"/>
          <w:szCs w:val="22"/>
        </w:rPr>
        <w:t xml:space="preserve"> </w:t>
      </w:r>
      <w:r w:rsidRPr="00A46B83">
        <w:rPr>
          <w:rFonts w:ascii="Calibri" w:hAnsi="Calibri" w:cs="Calibri"/>
          <w:sz w:val="22"/>
          <w:szCs w:val="22"/>
        </w:rPr>
        <w:t>359</w:t>
      </w:r>
      <w:r w:rsidR="007937E3">
        <w:rPr>
          <w:rFonts w:ascii="Calibri" w:hAnsi="Calibri" w:cs="Calibri"/>
          <w:sz w:val="22"/>
          <w:szCs w:val="22"/>
        </w:rPr>
        <w:t xml:space="preserve"> </w:t>
      </w:r>
      <w:r w:rsidRPr="00A46B83">
        <w:rPr>
          <w:rFonts w:ascii="Calibri" w:hAnsi="Calibri" w:cs="Calibri"/>
          <w:sz w:val="22"/>
          <w:szCs w:val="22"/>
        </w:rPr>
        <w:t>328</w:t>
      </w:r>
    </w:p>
    <w:p w14:paraId="700990C3" w14:textId="0C64EB69" w:rsidR="0005364A" w:rsidRDefault="00C241F0" w:rsidP="00555EDE">
      <w:pPr>
        <w:pStyle w:val="Normlnweb"/>
        <w:spacing w:before="0" w:beforeAutospacing="0" w:after="0" w:afterAutospacing="0" w:line="276" w:lineRule="auto"/>
        <w:ind w:left="-14"/>
        <w:jc w:val="both"/>
      </w:pPr>
      <w:r w:rsidRPr="00A46B83">
        <w:rPr>
          <w:rFonts w:ascii="Calibri" w:hAnsi="Calibri" w:cs="Calibri"/>
          <w:sz w:val="22"/>
          <w:szCs w:val="22"/>
        </w:rPr>
        <w:t xml:space="preserve">E-mail: </w:t>
      </w:r>
      <w:hyperlink r:id="rId17" w:history="1">
        <w:r w:rsidRPr="00942264">
          <w:rPr>
            <w:rStyle w:val="Hypertextovodkaz"/>
            <w:rFonts w:ascii="Calibri" w:hAnsi="Calibri" w:cs="Calibri"/>
            <w:sz w:val="22"/>
            <w:szCs w:val="22"/>
          </w:rPr>
          <w:t>lucie@doblogoo.cz</w:t>
        </w:r>
      </w:hyperlink>
    </w:p>
    <w:sectPr w:rsidR="0005364A" w:rsidSect="000452C2">
      <w:headerReference w:type="default" r:id="rId18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00D48" w14:textId="77777777" w:rsidR="008C0172" w:rsidRDefault="008C0172" w:rsidP="000A5BCB">
      <w:pPr>
        <w:spacing w:after="0" w:line="240" w:lineRule="auto"/>
      </w:pPr>
      <w:r>
        <w:separator/>
      </w:r>
    </w:p>
  </w:endnote>
  <w:endnote w:type="continuationSeparator" w:id="0">
    <w:p w14:paraId="727B2369" w14:textId="77777777" w:rsidR="008C0172" w:rsidRDefault="008C0172" w:rsidP="000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98C2D" w14:textId="77777777" w:rsidR="008C0172" w:rsidRDefault="008C0172" w:rsidP="000A5BCB">
      <w:pPr>
        <w:spacing w:after="0" w:line="240" w:lineRule="auto"/>
      </w:pPr>
      <w:r>
        <w:separator/>
      </w:r>
    </w:p>
  </w:footnote>
  <w:footnote w:type="continuationSeparator" w:id="0">
    <w:p w14:paraId="04CFD22C" w14:textId="77777777" w:rsidR="008C0172" w:rsidRDefault="008C0172" w:rsidP="000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79BC" w14:textId="1110A968" w:rsidR="000A5BCB" w:rsidRDefault="000A5BCB">
    <w:pPr>
      <w:pStyle w:val="Zhlav"/>
    </w:pPr>
    <w:r w:rsidRPr="00667366">
      <w:rPr>
        <w:rFonts w:ascii="Times New Roman" w:hAnsi="Times New Roman" w:cs="Times New Roman"/>
        <w:b/>
        <w:bCs/>
        <w:noProof/>
        <w:color w:val="010101"/>
        <w:sz w:val="28"/>
        <w:szCs w:val="28"/>
        <w:u w:val="single" w:color="010101"/>
        <w:lang w:eastAsia="cs-CZ"/>
      </w:rPr>
      <w:drawing>
        <wp:anchor distT="0" distB="0" distL="114300" distR="114300" simplePos="0" relativeHeight="251659264" behindDoc="1" locked="0" layoutInCell="1" allowOverlap="1" wp14:anchorId="0C9A499C" wp14:editId="54367933">
          <wp:simplePos x="0" y="0"/>
          <wp:positionH relativeFrom="column">
            <wp:posOffset>3895725</wp:posOffset>
          </wp:positionH>
          <wp:positionV relativeFrom="paragraph">
            <wp:posOffset>-185420</wp:posOffset>
          </wp:positionV>
          <wp:extent cx="1828800" cy="752475"/>
          <wp:effectExtent l="0" t="0" r="0" b="9525"/>
          <wp:wrapTight wrapText="bothSides">
            <wp:wrapPolygon edited="0">
              <wp:start x="0" y="0"/>
              <wp:lineTo x="0" y="21327"/>
              <wp:lineTo x="21375" y="2132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059">
      <w:t xml:space="preserve">TISKOVÁ </w:t>
    </w:r>
    <w:r w:rsidR="005B7443">
      <w:t>ZPRÁVA</w:t>
    </w:r>
  </w:p>
  <w:p w14:paraId="48C3FAC9" w14:textId="77777777" w:rsidR="000A5BCB" w:rsidRDefault="000A5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7CB"/>
    <w:multiLevelType w:val="hybridMultilevel"/>
    <w:tmpl w:val="63226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A6C"/>
    <w:multiLevelType w:val="hybridMultilevel"/>
    <w:tmpl w:val="EABCD612"/>
    <w:lvl w:ilvl="0" w:tplc="8172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1299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85F"/>
    <w:multiLevelType w:val="hybridMultilevel"/>
    <w:tmpl w:val="708A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A5C91"/>
    <w:multiLevelType w:val="hybridMultilevel"/>
    <w:tmpl w:val="0D8E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24D02"/>
    <w:multiLevelType w:val="hybridMultilevel"/>
    <w:tmpl w:val="60169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47960"/>
    <w:multiLevelType w:val="hybridMultilevel"/>
    <w:tmpl w:val="0D280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A17AB"/>
    <w:multiLevelType w:val="hybridMultilevel"/>
    <w:tmpl w:val="3E00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8767B"/>
    <w:multiLevelType w:val="hybridMultilevel"/>
    <w:tmpl w:val="2026DC48"/>
    <w:lvl w:ilvl="0" w:tplc="8B5A7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110EC"/>
    <w:multiLevelType w:val="hybridMultilevel"/>
    <w:tmpl w:val="B2F04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8B7028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40F6C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A6216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1E0B"/>
    <w:multiLevelType w:val="hybridMultilevel"/>
    <w:tmpl w:val="6292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38"/>
    <w:rsid w:val="00010B99"/>
    <w:rsid w:val="00020196"/>
    <w:rsid w:val="00025B39"/>
    <w:rsid w:val="00036C6D"/>
    <w:rsid w:val="000452C2"/>
    <w:rsid w:val="0005364A"/>
    <w:rsid w:val="0005483C"/>
    <w:rsid w:val="00057E00"/>
    <w:rsid w:val="0006700C"/>
    <w:rsid w:val="00071F87"/>
    <w:rsid w:val="00073C5F"/>
    <w:rsid w:val="000830A5"/>
    <w:rsid w:val="00091791"/>
    <w:rsid w:val="000A5BCB"/>
    <w:rsid w:val="000B0053"/>
    <w:rsid w:val="000C33FF"/>
    <w:rsid w:val="000C68AF"/>
    <w:rsid w:val="000D06BF"/>
    <w:rsid w:val="000D14DA"/>
    <w:rsid w:val="000E7A08"/>
    <w:rsid w:val="00114059"/>
    <w:rsid w:val="00116D16"/>
    <w:rsid w:val="001313BD"/>
    <w:rsid w:val="00135F96"/>
    <w:rsid w:val="001A458E"/>
    <w:rsid w:val="001E53D7"/>
    <w:rsid w:val="001E79B3"/>
    <w:rsid w:val="00233BB8"/>
    <w:rsid w:val="002348DF"/>
    <w:rsid w:val="00243FAD"/>
    <w:rsid w:val="00244CF8"/>
    <w:rsid w:val="002452D2"/>
    <w:rsid w:val="002761C9"/>
    <w:rsid w:val="00282165"/>
    <w:rsid w:val="00286140"/>
    <w:rsid w:val="002B1A37"/>
    <w:rsid w:val="002E249C"/>
    <w:rsid w:val="002E6397"/>
    <w:rsid w:val="003138EE"/>
    <w:rsid w:val="00327A27"/>
    <w:rsid w:val="00327F40"/>
    <w:rsid w:val="00387179"/>
    <w:rsid w:val="0039105C"/>
    <w:rsid w:val="00391258"/>
    <w:rsid w:val="003A6430"/>
    <w:rsid w:val="003B1FC3"/>
    <w:rsid w:val="003C6D9D"/>
    <w:rsid w:val="003F4B5D"/>
    <w:rsid w:val="00400070"/>
    <w:rsid w:val="00411F39"/>
    <w:rsid w:val="00415182"/>
    <w:rsid w:val="004159DD"/>
    <w:rsid w:val="0042744B"/>
    <w:rsid w:val="00452EB7"/>
    <w:rsid w:val="004834CE"/>
    <w:rsid w:val="0048687A"/>
    <w:rsid w:val="004A24D4"/>
    <w:rsid w:val="004A4551"/>
    <w:rsid w:val="004A4A09"/>
    <w:rsid w:val="004B746C"/>
    <w:rsid w:val="004C11F4"/>
    <w:rsid w:val="004C20F1"/>
    <w:rsid w:val="004C2317"/>
    <w:rsid w:val="004C5613"/>
    <w:rsid w:val="004D6C9A"/>
    <w:rsid w:val="004F4D03"/>
    <w:rsid w:val="00555EDE"/>
    <w:rsid w:val="00557FC7"/>
    <w:rsid w:val="0056000B"/>
    <w:rsid w:val="005676F4"/>
    <w:rsid w:val="0057337E"/>
    <w:rsid w:val="005967C3"/>
    <w:rsid w:val="00596F4C"/>
    <w:rsid w:val="005B7443"/>
    <w:rsid w:val="005D5AB1"/>
    <w:rsid w:val="005E3863"/>
    <w:rsid w:val="00600A3B"/>
    <w:rsid w:val="006015D4"/>
    <w:rsid w:val="00645BC0"/>
    <w:rsid w:val="00646C08"/>
    <w:rsid w:val="006470F5"/>
    <w:rsid w:val="006478D8"/>
    <w:rsid w:val="0066132B"/>
    <w:rsid w:val="00686CD4"/>
    <w:rsid w:val="006A5E12"/>
    <w:rsid w:val="006A68EF"/>
    <w:rsid w:val="006B23E1"/>
    <w:rsid w:val="006B3DA5"/>
    <w:rsid w:val="006B5CA9"/>
    <w:rsid w:val="006D0AE4"/>
    <w:rsid w:val="006E6EE5"/>
    <w:rsid w:val="0070414F"/>
    <w:rsid w:val="007055EF"/>
    <w:rsid w:val="00713FD0"/>
    <w:rsid w:val="0071551A"/>
    <w:rsid w:val="0073116E"/>
    <w:rsid w:val="007467EE"/>
    <w:rsid w:val="00750BAD"/>
    <w:rsid w:val="00761366"/>
    <w:rsid w:val="00763B29"/>
    <w:rsid w:val="0078285F"/>
    <w:rsid w:val="007937E3"/>
    <w:rsid w:val="007A1C27"/>
    <w:rsid w:val="007D3CCB"/>
    <w:rsid w:val="007E01FF"/>
    <w:rsid w:val="007E21D2"/>
    <w:rsid w:val="007F5382"/>
    <w:rsid w:val="008109FA"/>
    <w:rsid w:val="00814B96"/>
    <w:rsid w:val="0081639C"/>
    <w:rsid w:val="008174E3"/>
    <w:rsid w:val="00832378"/>
    <w:rsid w:val="008351C9"/>
    <w:rsid w:val="00840BDA"/>
    <w:rsid w:val="00853C6D"/>
    <w:rsid w:val="0086030C"/>
    <w:rsid w:val="00884930"/>
    <w:rsid w:val="00893E7D"/>
    <w:rsid w:val="008A11D3"/>
    <w:rsid w:val="008A3072"/>
    <w:rsid w:val="008C0172"/>
    <w:rsid w:val="008C79CB"/>
    <w:rsid w:val="008D5381"/>
    <w:rsid w:val="008E0D6A"/>
    <w:rsid w:val="008E7C17"/>
    <w:rsid w:val="00900D21"/>
    <w:rsid w:val="0091499D"/>
    <w:rsid w:val="0092229B"/>
    <w:rsid w:val="00981241"/>
    <w:rsid w:val="00990B95"/>
    <w:rsid w:val="009C6205"/>
    <w:rsid w:val="009D2F26"/>
    <w:rsid w:val="009E1F7E"/>
    <w:rsid w:val="009E35F6"/>
    <w:rsid w:val="00A368F2"/>
    <w:rsid w:val="00A4480A"/>
    <w:rsid w:val="00A6216E"/>
    <w:rsid w:val="00A70D51"/>
    <w:rsid w:val="00A71D45"/>
    <w:rsid w:val="00A73E07"/>
    <w:rsid w:val="00A80BB5"/>
    <w:rsid w:val="00AA2234"/>
    <w:rsid w:val="00AA599E"/>
    <w:rsid w:val="00AD0099"/>
    <w:rsid w:val="00AD41B5"/>
    <w:rsid w:val="00AE2ED0"/>
    <w:rsid w:val="00AF337A"/>
    <w:rsid w:val="00AF5F3C"/>
    <w:rsid w:val="00AF6B4D"/>
    <w:rsid w:val="00B01569"/>
    <w:rsid w:val="00B14399"/>
    <w:rsid w:val="00B17EDB"/>
    <w:rsid w:val="00B25C81"/>
    <w:rsid w:val="00B26869"/>
    <w:rsid w:val="00B403BD"/>
    <w:rsid w:val="00B46E6A"/>
    <w:rsid w:val="00B5193B"/>
    <w:rsid w:val="00B52A79"/>
    <w:rsid w:val="00B53EB0"/>
    <w:rsid w:val="00B60864"/>
    <w:rsid w:val="00B71FDA"/>
    <w:rsid w:val="00BC6293"/>
    <w:rsid w:val="00BE496D"/>
    <w:rsid w:val="00C22533"/>
    <w:rsid w:val="00C241F0"/>
    <w:rsid w:val="00C30171"/>
    <w:rsid w:val="00C30522"/>
    <w:rsid w:val="00C40810"/>
    <w:rsid w:val="00C40AC8"/>
    <w:rsid w:val="00C500A9"/>
    <w:rsid w:val="00C7091C"/>
    <w:rsid w:val="00C74F00"/>
    <w:rsid w:val="00C93F21"/>
    <w:rsid w:val="00CA2556"/>
    <w:rsid w:val="00CF7EA6"/>
    <w:rsid w:val="00D1391C"/>
    <w:rsid w:val="00D27D2A"/>
    <w:rsid w:val="00D447AA"/>
    <w:rsid w:val="00D61FF3"/>
    <w:rsid w:val="00D77D67"/>
    <w:rsid w:val="00D80398"/>
    <w:rsid w:val="00D90501"/>
    <w:rsid w:val="00D9199C"/>
    <w:rsid w:val="00DA28A5"/>
    <w:rsid w:val="00DA5D3C"/>
    <w:rsid w:val="00DD4E88"/>
    <w:rsid w:val="00DD6C77"/>
    <w:rsid w:val="00DD744D"/>
    <w:rsid w:val="00DE4E3F"/>
    <w:rsid w:val="00E21E65"/>
    <w:rsid w:val="00E27C6C"/>
    <w:rsid w:val="00E30C76"/>
    <w:rsid w:val="00E3251D"/>
    <w:rsid w:val="00E348C4"/>
    <w:rsid w:val="00E37B0F"/>
    <w:rsid w:val="00E56AEA"/>
    <w:rsid w:val="00E66ABE"/>
    <w:rsid w:val="00E77D83"/>
    <w:rsid w:val="00E909BF"/>
    <w:rsid w:val="00EB1538"/>
    <w:rsid w:val="00ED3B75"/>
    <w:rsid w:val="00EE28C7"/>
    <w:rsid w:val="00EE3F38"/>
    <w:rsid w:val="00EE4311"/>
    <w:rsid w:val="00F057C6"/>
    <w:rsid w:val="00F2157B"/>
    <w:rsid w:val="00F23B81"/>
    <w:rsid w:val="00F314ED"/>
    <w:rsid w:val="00F42F68"/>
    <w:rsid w:val="00F433E2"/>
    <w:rsid w:val="00F4347E"/>
    <w:rsid w:val="00F662D1"/>
    <w:rsid w:val="00F662E2"/>
    <w:rsid w:val="00F77103"/>
    <w:rsid w:val="00F90D15"/>
    <w:rsid w:val="00F97E1B"/>
    <w:rsid w:val="00FA5246"/>
    <w:rsid w:val="00FA7551"/>
    <w:rsid w:val="00FA7D6A"/>
    <w:rsid w:val="00FB3726"/>
    <w:rsid w:val="00FC2C00"/>
    <w:rsid w:val="00FE1299"/>
    <w:rsid w:val="00FF192C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F07F"/>
  <w15:chartTrackingRefBased/>
  <w15:docId w15:val="{472222FC-DA59-46A7-BF0C-83352C2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55EDE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47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imalex.cz/products/103-primalex_lodni_bezbarvy_lak_leskly/87&#168;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malex.cz/products/402-primalex_lazura_%26_napoustedlo_3v1/87" TargetMode="External"/><Relationship Id="rId17" Type="http://schemas.openxmlformats.org/officeDocument/2006/relationships/hyperlink" Target="mailto:lucie@doblogo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pg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primalex.cz" TargetMode="External"/><Relationship Id="rId10" Type="http://schemas.openxmlformats.org/officeDocument/2006/relationships/hyperlink" Target="http://www.primalex.cz/products/102-primalex_lazura_silnovrstva/87&#168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malex.cz/products/101-primalex_lazura_tenkovrstva/87" TargetMode="External"/><Relationship Id="rId14" Type="http://schemas.openxmlformats.org/officeDocument/2006/relationships/hyperlink" Target="https://bondex.cz/produkty/Bondex-Decking-O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F9967-E5E5-4779-95E9-85456F2F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769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Rejmonová</dc:creator>
  <cp:keywords/>
  <dc:description/>
  <cp:lastModifiedBy>Petra Walderová</cp:lastModifiedBy>
  <cp:revision>63</cp:revision>
  <cp:lastPrinted>2018-01-18T12:02:00Z</cp:lastPrinted>
  <dcterms:created xsi:type="dcterms:W3CDTF">2018-05-10T12:28:00Z</dcterms:created>
  <dcterms:modified xsi:type="dcterms:W3CDTF">2019-05-09T08:50:00Z</dcterms:modified>
</cp:coreProperties>
</file>