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E57412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18236EB1" w:rsidR="00E214A9" w:rsidRPr="00E57412" w:rsidRDefault="009B3C86" w:rsidP="00E214A9">
            <w:pPr>
              <w:spacing w:after="0" w:line="200" w:lineRule="atLeast"/>
              <w:rPr>
                <w:b/>
                <w:sz w:val="30"/>
                <w:szCs w:val="30"/>
                <w:lang w:val="cs-CZ"/>
              </w:rPr>
            </w:pPr>
            <w:bookmarkStart w:id="0" w:name="Text2"/>
            <w:bookmarkStart w:id="1" w:name="_GoBack"/>
            <w:bookmarkEnd w:id="1"/>
            <w:r w:rsidRPr="00E57412">
              <w:rPr>
                <w:b/>
                <w:sz w:val="30"/>
                <w:szCs w:val="30"/>
                <w:lang w:val="cs-CZ"/>
              </w:rPr>
              <w:t>Tisková zpráva</w:t>
            </w:r>
          </w:p>
          <w:p w14:paraId="5F7D6528" w14:textId="63A954AB" w:rsidR="00001BC2" w:rsidRPr="00E57412" w:rsidRDefault="009B3C86" w:rsidP="00E214A9">
            <w:pPr>
              <w:spacing w:after="0" w:line="200" w:lineRule="atLeast"/>
              <w:rPr>
                <w:sz w:val="16"/>
                <w:szCs w:val="16"/>
                <w:lang w:val="cs-CZ"/>
              </w:rPr>
            </w:pPr>
            <w:r w:rsidRPr="00E57412">
              <w:rPr>
                <w:sz w:val="16"/>
                <w:szCs w:val="16"/>
                <w:lang w:val="cs-CZ"/>
              </w:rPr>
              <w:t>Deceuninck</w:t>
            </w:r>
            <w:r w:rsidR="00D95FEF">
              <w:rPr>
                <w:sz w:val="16"/>
                <w:szCs w:val="16"/>
                <w:lang w:val="cs-CZ"/>
              </w:rPr>
              <w:t>,</w:t>
            </w:r>
            <w:r w:rsidRPr="00E57412">
              <w:rPr>
                <w:sz w:val="16"/>
                <w:szCs w:val="16"/>
                <w:lang w:val="cs-CZ"/>
              </w:rPr>
              <w:t xml:space="preserve"> spol. s r. o.</w:t>
            </w:r>
            <w:bookmarkEnd w:id="0"/>
          </w:p>
        </w:tc>
      </w:tr>
    </w:tbl>
    <w:p w14:paraId="70275188" w14:textId="12395924" w:rsidR="00200B8D" w:rsidRPr="00E57412" w:rsidRDefault="00200B8D" w:rsidP="00B33984">
      <w:pPr>
        <w:rPr>
          <w:lang w:val="cs-CZ"/>
        </w:rPr>
        <w:sectPr w:rsidR="00200B8D" w:rsidRPr="00E57412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3F621A75" w14:textId="3EA1FA60" w:rsidR="007A2F46" w:rsidRPr="007A2F46" w:rsidRDefault="007A2F46" w:rsidP="007A2F46">
      <w:pPr>
        <w:keepNext/>
        <w:keepLines/>
        <w:spacing w:before="240" w:line="259" w:lineRule="auto"/>
        <w:jc w:val="center"/>
        <w:outlineLvl w:val="0"/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</w:pPr>
      <w:proofErr w:type="spellStart"/>
      <w:r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D</w:t>
      </w:r>
      <w:r w:rsidRPr="007A2F46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řevoplastové</w:t>
      </w:r>
      <w:proofErr w:type="spellEnd"/>
      <w:r w:rsidRPr="007A2F46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terasy </w:t>
      </w:r>
      <w:proofErr w:type="spellStart"/>
      <w:r w:rsidR="00B5444B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Character</w:t>
      </w:r>
      <w:proofErr w:type="spellEnd"/>
      <w:r w:rsidRPr="007A2F46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</w:t>
      </w:r>
      <w:proofErr w:type="spellStart"/>
      <w:r w:rsidRPr="007A2F46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>Massive</w:t>
      </w:r>
      <w:proofErr w:type="spellEnd"/>
      <w:r w:rsidRPr="007A2F46">
        <w:rPr>
          <w:rFonts w:asciiTheme="minorHAnsi" w:hAnsiTheme="minorHAnsi" w:cs="Arial"/>
          <w:b/>
          <w:bCs/>
          <w:color w:val="00559F" w:themeColor="text2"/>
          <w:kern w:val="32"/>
          <w:sz w:val="36"/>
          <w:szCs w:val="36"/>
          <w:lang w:val="cs-CZ"/>
        </w:rPr>
        <w:t xml:space="preserve"> odolaly působení požáru</w:t>
      </w:r>
    </w:p>
    <w:p w14:paraId="319DDCE3" w14:textId="77777777" w:rsidR="007A2F46" w:rsidRPr="007A2F46" w:rsidRDefault="007A2F46" w:rsidP="007A2F46">
      <w:pPr>
        <w:widowControl w:val="0"/>
        <w:spacing w:after="0" w:line="360" w:lineRule="auto"/>
        <w:jc w:val="both"/>
        <w:rPr>
          <w:rFonts w:eastAsia="Calibri" w:cs="Arial"/>
          <w:sz w:val="22"/>
          <w:szCs w:val="22"/>
          <w:lang w:val="cs-CZ" w:eastAsia="en-US"/>
        </w:rPr>
      </w:pPr>
    </w:p>
    <w:p w14:paraId="102FB6E7" w14:textId="7F6FED42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  <w:r w:rsidRPr="007A2F46">
        <w:rPr>
          <w:rFonts w:eastAsia="Calibri" w:cs="Arial"/>
          <w:b/>
          <w:sz w:val="22"/>
          <w:szCs w:val="22"/>
          <w:lang w:val="cs-CZ" w:eastAsia="en-US"/>
        </w:rPr>
        <w:t>Brno, 12. března 2019 – Kromě designu je právě odolnost proti požáru jedním z hlavních kritérií při návrhu povrchů plochých střech.</w:t>
      </w:r>
      <w:r w:rsidRPr="007A2F46">
        <w:rPr>
          <w:rFonts w:eastAsia="Calibri" w:cs="Arial"/>
          <w:sz w:val="22"/>
          <w:szCs w:val="22"/>
          <w:lang w:val="cs-CZ" w:eastAsia="en-US"/>
        </w:rPr>
        <w:t xml:space="preserve"> </w:t>
      </w:r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Terasový systém </w:t>
      </w:r>
      <w:proofErr w:type="spellStart"/>
      <w:r w:rsidR="00B5444B">
        <w:rPr>
          <w:rFonts w:eastAsia="Calibri" w:cs="Arial"/>
          <w:b/>
          <w:sz w:val="22"/>
          <w:szCs w:val="22"/>
          <w:lang w:val="cs-CZ" w:eastAsia="en-US"/>
        </w:rPr>
        <w:t>Character</w:t>
      </w:r>
      <w:proofErr w:type="spellEnd"/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 </w:t>
      </w:r>
      <w:proofErr w:type="spellStart"/>
      <w:r w:rsidRPr="007A2F46">
        <w:rPr>
          <w:rFonts w:eastAsia="Calibri" w:cs="Arial"/>
          <w:b/>
          <w:sz w:val="22"/>
          <w:szCs w:val="22"/>
          <w:lang w:val="cs-CZ" w:eastAsia="en-US"/>
        </w:rPr>
        <w:t>Massive</w:t>
      </w:r>
      <w:proofErr w:type="spellEnd"/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 z kompozitního materiálu </w:t>
      </w:r>
      <w:proofErr w:type="spellStart"/>
      <w:r w:rsidRPr="007A2F46">
        <w:rPr>
          <w:rFonts w:eastAsia="Calibri" w:cs="Arial"/>
          <w:b/>
          <w:sz w:val="22"/>
          <w:szCs w:val="22"/>
          <w:lang w:val="cs-CZ" w:eastAsia="en-US"/>
        </w:rPr>
        <w:t>Twinson</w:t>
      </w:r>
      <w:proofErr w:type="spellEnd"/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 prošel zkouškou působení vnějšího požáru B</w:t>
      </w:r>
      <w:r w:rsidRPr="007A2F46">
        <w:rPr>
          <w:rFonts w:eastAsia="Calibri" w:cs="Arial"/>
          <w:b/>
          <w:sz w:val="22"/>
          <w:szCs w:val="22"/>
          <w:vertAlign w:val="subscript"/>
          <w:lang w:val="cs-CZ" w:eastAsia="en-US"/>
        </w:rPr>
        <w:t>ROOF</w:t>
      </w:r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 (t1) a může být tedy bez obav použit na plochých střechách rodinných domů i výrobních prostorů</w:t>
      </w:r>
      <w:r w:rsidRPr="007A2F46">
        <w:rPr>
          <w:rFonts w:eastAsia="Calibri" w:cs="Arial"/>
          <w:b/>
          <w:sz w:val="22"/>
          <w:szCs w:val="22"/>
          <w:vertAlign w:val="superscript"/>
          <w:lang w:val="cs-CZ" w:eastAsia="en-US"/>
        </w:rPr>
        <w:footnoteReference w:id="1"/>
      </w:r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. Jde o jediný kompozitní </w:t>
      </w:r>
      <w:proofErr w:type="spellStart"/>
      <w:r w:rsidRPr="007A2F46">
        <w:rPr>
          <w:rFonts w:eastAsia="Calibri" w:cs="Arial"/>
          <w:b/>
          <w:sz w:val="22"/>
          <w:szCs w:val="22"/>
          <w:lang w:val="cs-CZ" w:eastAsia="en-US"/>
        </w:rPr>
        <w:t>dřevoplastový</w:t>
      </w:r>
      <w:proofErr w:type="spellEnd"/>
      <w:r w:rsidRPr="007A2F46">
        <w:rPr>
          <w:rFonts w:eastAsia="Calibri" w:cs="Arial"/>
          <w:b/>
          <w:sz w:val="22"/>
          <w:szCs w:val="22"/>
          <w:lang w:val="cs-CZ" w:eastAsia="en-US"/>
        </w:rPr>
        <w:t xml:space="preserve"> (WPC) materiál na střešní terasy a balkony, který tuto certifikaci momentálně má.</w:t>
      </w:r>
    </w:p>
    <w:p w14:paraId="11886582" w14:textId="77777777" w:rsidR="007A2F46" w:rsidRPr="007A2F46" w:rsidRDefault="007A2F46" w:rsidP="007A2F46">
      <w:pPr>
        <w:widowControl w:val="0"/>
        <w:shd w:val="solid" w:color="FFFFFF" w:fill="FFFFFF"/>
        <w:spacing w:after="0" w:line="276" w:lineRule="auto"/>
        <w:jc w:val="both"/>
        <w:rPr>
          <w:rFonts w:eastAsia="Calibri" w:cs="Arial"/>
          <w:b/>
          <w:sz w:val="22"/>
          <w:szCs w:val="22"/>
          <w:lang w:val="cs-CZ" w:eastAsia="en-US"/>
        </w:rPr>
      </w:pPr>
    </w:p>
    <w:p w14:paraId="38AAD86F" w14:textId="77777777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  <w:r w:rsidRPr="007A2F46">
        <w:rPr>
          <w:rFonts w:eastAsia="Calibri" w:cs="Arial"/>
          <w:sz w:val="22"/>
          <w:szCs w:val="22"/>
          <w:lang w:val="cs-CZ" w:eastAsia="en-US"/>
        </w:rPr>
        <w:t>Zkouška chování střech při působení vnějšího požáru se řídí podle původně evropské normy ČSN EN 13501-5, která stanoví přesný postup testování – zapálí se 600 g dřevěné vlny v drátěném koši, během hoření i po spálení vlny se podle jasných kritérií hodnotí, k jakému poškození povrchu střechy došlo (např. nesmí hořet, doutnat či odpadávat žádné její části). Jde o náročnější zkoušku, než musejí splnit materiály „zpomalující hoření“.</w:t>
      </w:r>
    </w:p>
    <w:p w14:paraId="0D3DFA9C" w14:textId="77777777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</w:p>
    <w:p w14:paraId="1DC3F5CF" w14:textId="59987C2B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  <w:r w:rsidRPr="007A2F46">
        <w:rPr>
          <w:rFonts w:eastAsia="Calibri" w:cs="Arial"/>
          <w:sz w:val="22"/>
          <w:szCs w:val="22"/>
          <w:lang w:val="cs-CZ" w:eastAsia="en-US"/>
        </w:rPr>
        <w:t xml:space="preserve">Další výhodou terasových systémů </w:t>
      </w:r>
      <w:proofErr w:type="spellStart"/>
      <w:r w:rsidR="00B5444B">
        <w:rPr>
          <w:rFonts w:eastAsia="Calibri" w:cs="Arial"/>
          <w:sz w:val="22"/>
          <w:szCs w:val="22"/>
          <w:lang w:val="cs-CZ" w:eastAsia="en-US"/>
        </w:rPr>
        <w:t>Character</w:t>
      </w:r>
      <w:proofErr w:type="spellEnd"/>
      <w:r w:rsidRPr="007A2F46">
        <w:rPr>
          <w:rFonts w:eastAsia="Calibri" w:cs="Arial"/>
          <w:sz w:val="22"/>
          <w:szCs w:val="22"/>
          <w:lang w:val="cs-CZ" w:eastAsia="en-US"/>
        </w:rPr>
        <w:t xml:space="preserve"> </w:t>
      </w:r>
      <w:proofErr w:type="spellStart"/>
      <w:r w:rsidRPr="007A2F46">
        <w:rPr>
          <w:rFonts w:eastAsia="Calibri" w:cs="Arial"/>
          <w:sz w:val="22"/>
          <w:szCs w:val="22"/>
          <w:lang w:val="cs-CZ" w:eastAsia="en-US"/>
        </w:rPr>
        <w:t>Massive</w:t>
      </w:r>
      <w:proofErr w:type="spellEnd"/>
      <w:r w:rsidRPr="007A2F46">
        <w:rPr>
          <w:rFonts w:eastAsia="Calibri" w:cs="Arial"/>
          <w:sz w:val="22"/>
          <w:szCs w:val="22"/>
          <w:lang w:val="cs-CZ" w:eastAsia="en-US"/>
        </w:rPr>
        <w:t xml:space="preserve"> z materiálu </w:t>
      </w:r>
      <w:proofErr w:type="spellStart"/>
      <w:r w:rsidRPr="007A2F46">
        <w:rPr>
          <w:rFonts w:eastAsia="Calibri" w:cs="Arial"/>
          <w:sz w:val="22"/>
          <w:szCs w:val="22"/>
          <w:lang w:val="cs-CZ" w:eastAsia="en-US"/>
        </w:rPr>
        <w:t>Twinson</w:t>
      </w:r>
      <w:proofErr w:type="spellEnd"/>
      <w:r w:rsidRPr="007A2F46">
        <w:rPr>
          <w:rFonts w:eastAsia="Calibri" w:cs="Arial"/>
          <w:sz w:val="22"/>
          <w:szCs w:val="22"/>
          <w:lang w:val="cs-CZ" w:eastAsia="en-US"/>
        </w:rPr>
        <w:t xml:space="preserve"> je jejich snadná údržba, vysoká odolnost proti působení počasí, dřevokazným houbám i hmyzu, pevnost (Inoutic na materiál poskytuje záruku 25 let), odolnost proti uklouznutí (R10/11) díky zdrsněnému povrchu a samozřejmě také vzhled, který je velmi blízký přírodnímu dřevu. </w:t>
      </w:r>
    </w:p>
    <w:p w14:paraId="01B9D674" w14:textId="77777777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</w:p>
    <w:p w14:paraId="5164C1DC" w14:textId="77777777" w:rsidR="007A2F46" w:rsidRPr="007A2F46" w:rsidRDefault="007A2F46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  <w:r w:rsidRPr="007A2F46">
        <w:rPr>
          <w:rFonts w:eastAsia="Calibri" w:cs="Arial"/>
          <w:sz w:val="22"/>
          <w:szCs w:val="22"/>
          <w:lang w:val="cs-CZ" w:eastAsia="en-US"/>
        </w:rPr>
        <w:t xml:space="preserve">Materiál </w:t>
      </w:r>
      <w:proofErr w:type="spellStart"/>
      <w:r w:rsidRPr="007A2F46">
        <w:rPr>
          <w:rFonts w:eastAsia="Calibri" w:cs="Arial"/>
          <w:sz w:val="22"/>
          <w:szCs w:val="22"/>
          <w:lang w:val="cs-CZ" w:eastAsia="en-US"/>
        </w:rPr>
        <w:t>Twinson</w:t>
      </w:r>
      <w:proofErr w:type="spellEnd"/>
      <w:r w:rsidRPr="007A2F46">
        <w:rPr>
          <w:rFonts w:eastAsia="Calibri" w:cs="Arial"/>
          <w:sz w:val="22"/>
          <w:szCs w:val="22"/>
          <w:lang w:val="cs-CZ" w:eastAsia="en-US"/>
        </w:rPr>
        <w:t xml:space="preserve"> obsahuje 50 % PVC (plně recyklovatelný plast) a 50 % borovicových pilin (které pocházejí z lesů s certifikací PEFC, tedy s udržitelným hospodařením).</w:t>
      </w:r>
    </w:p>
    <w:p w14:paraId="216DE4BA" w14:textId="77777777" w:rsidR="007A2F46" w:rsidRPr="007A2F46" w:rsidRDefault="00B5444B" w:rsidP="007A2F46">
      <w:pPr>
        <w:shd w:val="solid" w:color="FFFFFF" w:fill="FFFFFF"/>
        <w:spacing w:after="0" w:line="276" w:lineRule="auto"/>
        <w:jc w:val="both"/>
        <w:rPr>
          <w:rFonts w:eastAsia="Calibri" w:cs="Arial"/>
          <w:sz w:val="22"/>
          <w:szCs w:val="22"/>
          <w:lang w:val="cs-CZ" w:eastAsia="en-US"/>
        </w:rPr>
      </w:pPr>
      <w:hyperlink r:id="rId16" w:history="1">
        <w:r w:rsidR="007A2F46" w:rsidRPr="007A2F46">
          <w:rPr>
            <w:rFonts w:eastAsia="Calibri" w:cs="Arial"/>
            <w:color w:val="0000FF"/>
            <w:sz w:val="22"/>
            <w:szCs w:val="22"/>
            <w:u w:val="single"/>
            <w:lang w:val="cs-CZ" w:eastAsia="en-US"/>
          </w:rPr>
          <w:t>www.twinson.cz</w:t>
        </w:r>
      </w:hyperlink>
      <w:r w:rsidR="007A2F46" w:rsidRPr="007A2F46">
        <w:rPr>
          <w:rFonts w:eastAsia="Calibri" w:cs="Arial"/>
          <w:sz w:val="22"/>
          <w:szCs w:val="22"/>
          <w:lang w:val="cs-CZ" w:eastAsia="en-US"/>
        </w:rPr>
        <w:t xml:space="preserve"> </w:t>
      </w:r>
    </w:p>
    <w:p w14:paraId="20703EFA" w14:textId="18A45206" w:rsidR="00E57412" w:rsidRDefault="007A2F46" w:rsidP="00855D9D">
      <w:pPr>
        <w:shd w:val="solid" w:color="FFFFFF" w:fill="FFFFFF"/>
        <w:spacing w:after="0" w:line="276" w:lineRule="auto"/>
        <w:rPr>
          <w:rFonts w:eastAsia="Calibri" w:cs="Arial"/>
          <w:sz w:val="22"/>
          <w:szCs w:val="22"/>
          <w:lang w:val="cs-CZ"/>
        </w:rPr>
      </w:pPr>
      <w:r w:rsidRPr="007A2F46">
        <w:rPr>
          <w:rFonts w:ascii="Calibri" w:eastAsia="Calibri" w:hAnsi="Calibri" w:cs="Arial"/>
          <w:noProof/>
          <w:sz w:val="22"/>
          <w:szCs w:val="22"/>
          <w:lang w:val="cs-CZ" w:eastAsia="en-US"/>
        </w:rPr>
        <w:drawing>
          <wp:inline distT="0" distB="0" distL="0" distR="0" wp14:anchorId="04E8DAC3" wp14:editId="0A61BB03">
            <wp:extent cx="1272541" cy="95440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7" cy="9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412" w:rsidSect="00EC3432">
      <w:type w:val="continuous"/>
      <w:pgSz w:w="11906" w:h="16838" w:code="9"/>
      <w:pgMar w:top="3686" w:right="1701" w:bottom="1701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38DC" w14:textId="77777777" w:rsidR="00D80136" w:rsidRDefault="00D80136">
      <w:r>
        <w:separator/>
      </w:r>
    </w:p>
  </w:endnote>
  <w:endnote w:type="continuationSeparator" w:id="0">
    <w:p w14:paraId="5689F4AF" w14:textId="77777777" w:rsidR="00D80136" w:rsidRDefault="00D8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189B6F43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Tisková zpráva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8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4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FBA9" w14:textId="77777777" w:rsidR="00D80136" w:rsidRDefault="00D80136">
      <w:r>
        <w:separator/>
      </w:r>
    </w:p>
  </w:footnote>
  <w:footnote w:type="continuationSeparator" w:id="0">
    <w:p w14:paraId="798198C2" w14:textId="77777777" w:rsidR="00D80136" w:rsidRDefault="00D80136">
      <w:r>
        <w:continuationSeparator/>
      </w:r>
    </w:p>
  </w:footnote>
  <w:footnote w:id="1">
    <w:p w14:paraId="1E3A62EB" w14:textId="77777777" w:rsidR="007A2F46" w:rsidRDefault="007A2F46" w:rsidP="007A2F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66DC">
        <w:t>které se nacházejí mimo</w:t>
      </w:r>
      <w:r>
        <w:t xml:space="preserve"> </w:t>
      </w:r>
      <w:r w:rsidRPr="00EA66DC">
        <w:t>„požárně nebezpečný prostor“</w:t>
      </w:r>
      <w:r>
        <w:t>, např. oken či okolních staveb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05ADBA0F">
          <wp:simplePos x="0" y="0"/>
          <wp:positionH relativeFrom="margin">
            <wp:align>left</wp:align>
          </wp:positionH>
          <wp:positionV relativeFrom="page">
            <wp:posOffset>455930</wp:posOffset>
          </wp:positionV>
          <wp:extent cx="1439545" cy="7194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28E00B5"/>
    <w:multiLevelType w:val="hybridMultilevel"/>
    <w:tmpl w:val="AC26C742"/>
    <w:lvl w:ilvl="0" w:tplc="6CE05ADC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382A"/>
    <w:multiLevelType w:val="multilevel"/>
    <w:tmpl w:val="5846EBE4"/>
    <w:numStyleLink w:val="List-Deceuninck-Bullet"/>
  </w:abstractNum>
  <w:abstractNum w:abstractNumId="5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7E82"/>
    <w:multiLevelType w:val="hybridMultilevel"/>
    <w:tmpl w:val="3AA64508"/>
    <w:lvl w:ilvl="0" w:tplc="DD9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234DF"/>
    <w:rsid w:val="00036D73"/>
    <w:rsid w:val="0004606A"/>
    <w:rsid w:val="00050090"/>
    <w:rsid w:val="00050959"/>
    <w:rsid w:val="00050E53"/>
    <w:rsid w:val="00051EAA"/>
    <w:rsid w:val="00053086"/>
    <w:rsid w:val="00074C75"/>
    <w:rsid w:val="00080ECD"/>
    <w:rsid w:val="0009716A"/>
    <w:rsid w:val="000B505B"/>
    <w:rsid w:val="000C1202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54233"/>
    <w:rsid w:val="00266FCC"/>
    <w:rsid w:val="00287B73"/>
    <w:rsid w:val="00295487"/>
    <w:rsid w:val="002A2551"/>
    <w:rsid w:val="002D7CA5"/>
    <w:rsid w:val="002F6AFF"/>
    <w:rsid w:val="003117FE"/>
    <w:rsid w:val="00314C70"/>
    <w:rsid w:val="00327A59"/>
    <w:rsid w:val="00374367"/>
    <w:rsid w:val="00383CFC"/>
    <w:rsid w:val="00386180"/>
    <w:rsid w:val="0039047A"/>
    <w:rsid w:val="003A1782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C6701"/>
    <w:rsid w:val="004D6CAA"/>
    <w:rsid w:val="004F46F2"/>
    <w:rsid w:val="004F6B0D"/>
    <w:rsid w:val="00510CFC"/>
    <w:rsid w:val="005152D5"/>
    <w:rsid w:val="0054480D"/>
    <w:rsid w:val="00550FBC"/>
    <w:rsid w:val="00560B56"/>
    <w:rsid w:val="00564664"/>
    <w:rsid w:val="00592E29"/>
    <w:rsid w:val="005A23F6"/>
    <w:rsid w:val="005B53E9"/>
    <w:rsid w:val="005C6B4F"/>
    <w:rsid w:val="005D43BC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1C21"/>
    <w:rsid w:val="006C4FE9"/>
    <w:rsid w:val="006E560C"/>
    <w:rsid w:val="006E66AB"/>
    <w:rsid w:val="00711F43"/>
    <w:rsid w:val="00717D62"/>
    <w:rsid w:val="00731CAF"/>
    <w:rsid w:val="007444BD"/>
    <w:rsid w:val="0077296D"/>
    <w:rsid w:val="00773648"/>
    <w:rsid w:val="00795F52"/>
    <w:rsid w:val="007A2F46"/>
    <w:rsid w:val="007E0901"/>
    <w:rsid w:val="008125CA"/>
    <w:rsid w:val="00817B09"/>
    <w:rsid w:val="00826B32"/>
    <w:rsid w:val="0083106A"/>
    <w:rsid w:val="00855D9D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0C1A"/>
    <w:rsid w:val="00AD38AB"/>
    <w:rsid w:val="00AD7010"/>
    <w:rsid w:val="00AE1F1A"/>
    <w:rsid w:val="00B22257"/>
    <w:rsid w:val="00B229B1"/>
    <w:rsid w:val="00B33984"/>
    <w:rsid w:val="00B36F21"/>
    <w:rsid w:val="00B52C9D"/>
    <w:rsid w:val="00B5444B"/>
    <w:rsid w:val="00B6097F"/>
    <w:rsid w:val="00B91F75"/>
    <w:rsid w:val="00BA0B7D"/>
    <w:rsid w:val="00BB61ED"/>
    <w:rsid w:val="00BD23F3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0136"/>
    <w:rsid w:val="00D87551"/>
    <w:rsid w:val="00D95AA7"/>
    <w:rsid w:val="00D95FEF"/>
    <w:rsid w:val="00DB5CB3"/>
    <w:rsid w:val="00DB782D"/>
    <w:rsid w:val="00DC4CED"/>
    <w:rsid w:val="00DC6A76"/>
    <w:rsid w:val="00DD7D97"/>
    <w:rsid w:val="00DF5C06"/>
    <w:rsid w:val="00DF72C0"/>
    <w:rsid w:val="00E101D5"/>
    <w:rsid w:val="00E166B2"/>
    <w:rsid w:val="00E214A9"/>
    <w:rsid w:val="00E27999"/>
    <w:rsid w:val="00E3371F"/>
    <w:rsid w:val="00E41F43"/>
    <w:rsid w:val="00E429A3"/>
    <w:rsid w:val="00E57412"/>
    <w:rsid w:val="00EB0577"/>
    <w:rsid w:val="00EB0DF3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B422C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9A3"/>
    <w:pPr>
      <w:spacing w:after="0"/>
      <w:jc w:val="both"/>
    </w:pPr>
    <w:rPr>
      <w:rFonts w:asciiTheme="minorHAnsi" w:eastAsiaTheme="minorHAnsi" w:hAnsiTheme="minorHAnsi" w:cstheme="minorBidi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9A3"/>
    <w:rPr>
      <w:rFonts w:asciiTheme="minorHAnsi" w:eastAsiaTheme="minorHAnsi" w:hAnsiTheme="minorHAnsi" w:cstheme="minorBidi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4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winson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7CFF-DB72-4432-AB42-C52E840FD8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EFB5E-46C2-4B53-B333-846D795D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9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Markéta Rejmonová</cp:lastModifiedBy>
  <cp:revision>3</cp:revision>
  <cp:lastPrinted>2018-12-11T10:01:00Z</cp:lastPrinted>
  <dcterms:created xsi:type="dcterms:W3CDTF">2020-04-07T12:02:00Z</dcterms:created>
  <dcterms:modified xsi:type="dcterms:W3CDTF">2020-04-07T12:03:00Z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