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D78" w14:textId="3CEFD28F" w:rsidR="00681186" w:rsidRDefault="003352FD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bookmarkStart w:id="0" w:name="_GoBack"/>
      <w:r w:rsidRPr="003352FD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Vysavač Electrolux PURE F9: vysávejte jakkoli, vysávejte chytře</w:t>
      </w:r>
    </w:p>
    <w:bookmarkEnd w:id="0"/>
    <w:p w14:paraId="61EDA29D" w14:textId="43F81835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352F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13. září 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72B78E2B" w14:textId="68FFE5B8" w:rsidR="00681186" w:rsidRDefault="003352FD" w:rsidP="006555D7">
      <w:pPr>
        <w:spacing w:line="360" w:lineRule="auto"/>
        <w:jc w:val="both"/>
        <w:rPr>
          <w:rFonts w:cs="Arial"/>
          <w:b/>
          <w:lang w:val="cs-CZ"/>
        </w:rPr>
      </w:pPr>
      <w:r w:rsidRPr="003352FD">
        <w:rPr>
          <w:rFonts w:cs="Arial"/>
          <w:b/>
          <w:lang w:val="cs-CZ"/>
        </w:rPr>
        <w:t xml:space="preserve">Electrolux představil nový vysavač </w:t>
      </w:r>
      <w:proofErr w:type="spellStart"/>
      <w:r w:rsidRPr="003352FD">
        <w:rPr>
          <w:rFonts w:cs="Arial"/>
          <w:b/>
          <w:lang w:val="cs-CZ"/>
        </w:rPr>
        <w:t>Pure</w:t>
      </w:r>
      <w:proofErr w:type="spellEnd"/>
      <w:r w:rsidRPr="003352FD">
        <w:rPr>
          <w:rFonts w:cs="Arial"/>
          <w:b/>
          <w:lang w:val="cs-CZ"/>
        </w:rPr>
        <w:t xml:space="preserve"> F9, který splňuje všechny požadavky současné doby. Spojuje výkonnou akumulátorovou technologii společně </w:t>
      </w:r>
      <w:r w:rsidR="0057474F">
        <w:rPr>
          <w:rFonts w:cs="Arial"/>
          <w:b/>
          <w:lang w:val="cs-CZ"/>
        </w:rPr>
        <w:br/>
      </w:r>
      <w:r w:rsidRPr="003352FD">
        <w:rPr>
          <w:rFonts w:cs="Arial"/>
          <w:b/>
          <w:lang w:val="cs-CZ"/>
        </w:rPr>
        <w:t xml:space="preserve">s inovativním a designovým řešením, díky kterému můžete vysávat opravdu jakkoli. Výsledkem je </w:t>
      </w:r>
      <w:r w:rsidR="008816D3">
        <w:rPr>
          <w:rFonts w:cs="Arial"/>
          <w:b/>
          <w:lang w:val="cs-CZ"/>
        </w:rPr>
        <w:t>spotřebič</w:t>
      </w:r>
      <w:r w:rsidRPr="003352FD">
        <w:rPr>
          <w:rFonts w:cs="Arial"/>
          <w:b/>
          <w:lang w:val="cs-CZ"/>
        </w:rPr>
        <w:t>, který kombinuje spolehlivý výkon tradičního vysavače se svobodou pohybu vysavače akumulátorového</w:t>
      </w:r>
      <w:r w:rsidR="003F516B">
        <w:rPr>
          <w:rFonts w:cs="Arial"/>
          <w:b/>
          <w:lang w:val="cs-CZ"/>
        </w:rPr>
        <w:t xml:space="preserve">, se kterým vysajete opravdu vše – od prostoru pod pohovkou až po závěsovou garnýž. </w:t>
      </w:r>
    </w:p>
    <w:p w14:paraId="4E3B3A51" w14:textId="77777777" w:rsidR="003352FD" w:rsidRDefault="003352FD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7E63C8ED" w14:textId="77777777" w:rsidR="003352FD" w:rsidRPr="003352FD" w:rsidRDefault="003352FD" w:rsidP="003352FD">
      <w:pPr>
        <w:spacing w:line="360" w:lineRule="auto"/>
        <w:jc w:val="both"/>
        <w:rPr>
          <w:rFonts w:cs="Arial"/>
          <w:b/>
          <w:lang w:val="cs-CZ"/>
        </w:rPr>
      </w:pPr>
      <w:r w:rsidRPr="003352FD">
        <w:rPr>
          <w:rFonts w:cs="Arial"/>
          <w:b/>
          <w:lang w:val="cs-CZ"/>
        </w:rPr>
        <w:t>To nejlepší ze světů tradičních i akumulátorových vysavačů</w:t>
      </w:r>
    </w:p>
    <w:p w14:paraId="65DB5FA4" w14:textId="3ACF7F3F" w:rsidR="006E4206" w:rsidRPr="003352FD" w:rsidRDefault="003F516B" w:rsidP="003352FD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A17D330" wp14:editId="73C011BC">
            <wp:simplePos x="0" y="0"/>
            <wp:positionH relativeFrom="margin">
              <wp:posOffset>0</wp:posOffset>
            </wp:positionH>
            <wp:positionV relativeFrom="margin">
              <wp:posOffset>3711575</wp:posOffset>
            </wp:positionV>
            <wp:extent cx="4978400" cy="29337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2" b="17078"/>
                    <a:stretch/>
                  </pic:blipFill>
                  <pic:spPr bwMode="auto">
                    <a:xfrm>
                      <a:off x="0" y="0"/>
                      <a:ext cx="4978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2FD" w:rsidRPr="003352FD">
        <w:rPr>
          <w:rFonts w:cs="Arial"/>
          <w:lang w:val="cs-CZ"/>
        </w:rPr>
        <w:t xml:space="preserve">Výkonný a všestranný vysavač </w:t>
      </w:r>
      <w:proofErr w:type="spellStart"/>
      <w:r w:rsidR="003352FD" w:rsidRPr="003352FD">
        <w:rPr>
          <w:rFonts w:cs="Arial"/>
          <w:lang w:val="cs-CZ"/>
        </w:rPr>
        <w:t>Pure</w:t>
      </w:r>
      <w:proofErr w:type="spellEnd"/>
      <w:r w:rsidR="003352FD" w:rsidRPr="003352FD">
        <w:rPr>
          <w:rFonts w:cs="Arial"/>
          <w:lang w:val="cs-CZ"/>
        </w:rPr>
        <w:t xml:space="preserve"> F9 v domácnosti hravě zastane úlohu jediného vysavače.  Díky tomu, že čerpá z těch nejvýznamnějších benefitů tradičních </w:t>
      </w:r>
      <w:r w:rsidR="0057474F">
        <w:rPr>
          <w:rFonts w:cs="Arial"/>
          <w:lang w:val="cs-CZ"/>
        </w:rPr>
        <w:br/>
      </w:r>
      <w:r w:rsidR="003352FD" w:rsidRPr="003352FD">
        <w:rPr>
          <w:rFonts w:cs="Arial"/>
          <w:lang w:val="cs-CZ"/>
        </w:rPr>
        <w:t xml:space="preserve">i akumulátorových vysávačů, představuje to nejlepší z obou světů.  </w:t>
      </w:r>
    </w:p>
    <w:p w14:paraId="4B763891" w14:textId="78499B15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</w:p>
    <w:p w14:paraId="1164FDFA" w14:textId="3F836C23" w:rsidR="003352FD" w:rsidRDefault="003352FD" w:rsidP="003352FD">
      <w:pPr>
        <w:spacing w:line="360" w:lineRule="auto"/>
        <w:jc w:val="both"/>
        <w:rPr>
          <w:rFonts w:cs="Arial"/>
          <w:lang w:val="cs-CZ"/>
        </w:rPr>
      </w:pPr>
      <w:r w:rsidRPr="003352FD">
        <w:rPr>
          <w:rFonts w:cs="Arial"/>
          <w:lang w:val="cs-CZ"/>
        </w:rPr>
        <w:t>"</w:t>
      </w:r>
      <w:proofErr w:type="spellStart"/>
      <w:r w:rsidRPr="003352FD">
        <w:rPr>
          <w:rFonts w:cs="Arial"/>
          <w:lang w:val="cs-CZ"/>
        </w:rPr>
        <w:t>Pure</w:t>
      </w:r>
      <w:proofErr w:type="spellEnd"/>
      <w:r w:rsidRPr="003352FD">
        <w:rPr>
          <w:rFonts w:cs="Arial"/>
          <w:lang w:val="cs-CZ"/>
        </w:rPr>
        <w:t xml:space="preserve"> F9 nabízí bezkonkurenční všestrannost," říká Roman </w:t>
      </w:r>
      <w:proofErr w:type="spellStart"/>
      <w:r w:rsidRPr="003352FD">
        <w:rPr>
          <w:rFonts w:cs="Arial"/>
          <w:lang w:val="cs-CZ"/>
        </w:rPr>
        <w:t>Šebl</w:t>
      </w:r>
      <w:proofErr w:type="spellEnd"/>
      <w:r w:rsidRPr="003352FD">
        <w:rPr>
          <w:rFonts w:cs="Arial"/>
          <w:lang w:val="cs-CZ"/>
        </w:rPr>
        <w:t xml:space="preserve">, </w:t>
      </w:r>
      <w:r w:rsidR="003F2674">
        <w:rPr>
          <w:rFonts w:cs="Arial"/>
          <w:lang w:val="cs-CZ"/>
        </w:rPr>
        <w:t>vedoucí prodeje</w:t>
      </w:r>
      <w:r w:rsidRPr="003352FD">
        <w:rPr>
          <w:rFonts w:cs="Arial"/>
          <w:lang w:val="cs-CZ"/>
        </w:rPr>
        <w:t xml:space="preserve"> divize malých domácích spotřebičů společnosti Electrolux. "Je akumulátorový, ale </w:t>
      </w:r>
      <w:r w:rsidR="0057474F">
        <w:rPr>
          <w:rFonts w:cs="Arial"/>
          <w:lang w:val="cs-CZ"/>
        </w:rPr>
        <w:t>stále</w:t>
      </w:r>
      <w:r w:rsidRPr="003352FD">
        <w:rPr>
          <w:rFonts w:cs="Arial"/>
          <w:lang w:val="cs-CZ"/>
        </w:rPr>
        <w:t xml:space="preserve"> velmi výkonný. Díky široké škále příslušenství vysaje opravdu celý byt. Od podlahy po strop, od koberců po závěsy, a to na jedno nabití</w:t>
      </w:r>
      <w:r w:rsidR="008816D3">
        <w:rPr>
          <w:rFonts w:cs="Arial"/>
          <w:lang w:val="cs-CZ"/>
        </w:rPr>
        <w:t>“</w:t>
      </w:r>
      <w:r w:rsidRPr="003352FD">
        <w:rPr>
          <w:rFonts w:cs="Arial"/>
          <w:lang w:val="cs-CZ"/>
        </w:rPr>
        <w:t xml:space="preserve">, doplňuje. </w:t>
      </w:r>
    </w:p>
    <w:p w14:paraId="19E5C172" w14:textId="2C4FF174" w:rsidR="006E4206" w:rsidRPr="003352FD" w:rsidRDefault="006E4206" w:rsidP="003352FD">
      <w:pPr>
        <w:spacing w:line="360" w:lineRule="auto"/>
        <w:jc w:val="both"/>
        <w:rPr>
          <w:rFonts w:cs="Arial"/>
          <w:lang w:val="cs-CZ"/>
        </w:rPr>
      </w:pPr>
    </w:p>
    <w:p w14:paraId="6A70177D" w14:textId="670E6275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</w:p>
    <w:p w14:paraId="4B910CBA" w14:textId="77777777" w:rsidR="005544F1" w:rsidRDefault="005544F1" w:rsidP="003352FD">
      <w:pPr>
        <w:spacing w:line="360" w:lineRule="auto"/>
        <w:jc w:val="both"/>
        <w:rPr>
          <w:rFonts w:cs="Arial"/>
          <w:lang w:val="cs-CZ"/>
        </w:rPr>
      </w:pPr>
    </w:p>
    <w:p w14:paraId="69421509" w14:textId="39A35F70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  <w:r w:rsidRPr="003352FD">
        <w:rPr>
          <w:rFonts w:cs="Arial"/>
          <w:lang w:val="cs-CZ"/>
        </w:rPr>
        <w:lastRenderedPageBreak/>
        <w:t xml:space="preserve">Díky jedinečné flexibilitě hlavní jednotky a </w:t>
      </w:r>
      <w:r w:rsidR="0020484A">
        <w:rPr>
          <w:rFonts w:cs="Arial"/>
          <w:lang w:val="cs-CZ"/>
        </w:rPr>
        <w:t>výsuvné</w:t>
      </w:r>
      <w:r w:rsidRPr="003352FD">
        <w:rPr>
          <w:rFonts w:cs="Arial"/>
          <w:lang w:val="cs-CZ"/>
        </w:rPr>
        <w:t xml:space="preserve"> hadici můžete snadno vysávat nad </w:t>
      </w:r>
      <w:r w:rsidR="0057474F">
        <w:rPr>
          <w:rFonts w:cs="Arial"/>
          <w:lang w:val="cs-CZ"/>
        </w:rPr>
        <w:br/>
      </w:r>
      <w:r w:rsidR="008816D3">
        <w:rPr>
          <w:rFonts w:cs="Arial"/>
          <w:lang w:val="cs-CZ"/>
        </w:rPr>
        <w:t>i</w:t>
      </w:r>
      <w:r w:rsidRPr="003352FD">
        <w:rPr>
          <w:rFonts w:cs="Arial"/>
          <w:lang w:val="cs-CZ"/>
        </w:rPr>
        <w:t xml:space="preserve"> pod nábytkem. </w:t>
      </w:r>
      <w:r w:rsidR="0020484A">
        <w:rPr>
          <w:rFonts w:cs="Arial"/>
          <w:lang w:val="cs-CZ"/>
        </w:rPr>
        <w:t>Čištění</w:t>
      </w:r>
      <w:r w:rsidRPr="003352FD">
        <w:rPr>
          <w:rFonts w:cs="Arial"/>
          <w:lang w:val="cs-CZ"/>
        </w:rPr>
        <w:t xml:space="preserve"> těžko přístupných míst</w:t>
      </w:r>
      <w:r w:rsidR="0020484A">
        <w:rPr>
          <w:rFonts w:cs="Arial"/>
          <w:lang w:val="cs-CZ"/>
        </w:rPr>
        <w:t xml:space="preserve">, jako jsou vysoké lampy, klimatizace, stropní rohy či garnýže, </w:t>
      </w:r>
      <w:r w:rsidRPr="003352FD">
        <w:rPr>
          <w:rFonts w:cs="Arial"/>
          <w:lang w:val="cs-CZ"/>
        </w:rPr>
        <w:t>nebude žádný problém. Díky přednímu osvětlení navíc uvidíte nečistoty i v tom nejtmavším koutě.</w:t>
      </w:r>
      <w:r w:rsidR="0020484A" w:rsidRPr="0020484A">
        <w:t xml:space="preserve"> </w:t>
      </w:r>
    </w:p>
    <w:p w14:paraId="272DF96D" w14:textId="6403F9A5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</w:p>
    <w:p w14:paraId="29C68771" w14:textId="2FD86377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  <w:r w:rsidRPr="003352FD">
        <w:rPr>
          <w:rFonts w:cs="Arial"/>
          <w:lang w:val="cs-CZ"/>
        </w:rPr>
        <w:t xml:space="preserve">Sací výkon vysavače </w:t>
      </w:r>
      <w:proofErr w:type="spellStart"/>
      <w:r w:rsidRPr="003352FD">
        <w:rPr>
          <w:rFonts w:cs="Arial"/>
          <w:lang w:val="cs-CZ"/>
        </w:rPr>
        <w:t>Pure</w:t>
      </w:r>
      <w:proofErr w:type="spellEnd"/>
      <w:r w:rsidRPr="003352FD">
        <w:rPr>
          <w:rFonts w:cs="Arial"/>
          <w:lang w:val="cs-CZ"/>
        </w:rPr>
        <w:t xml:space="preserve"> F9 se </w:t>
      </w:r>
      <w:r w:rsidR="003F2674">
        <w:rPr>
          <w:rFonts w:cs="Arial"/>
          <w:lang w:val="cs-CZ"/>
        </w:rPr>
        <w:t>u většiny modelů</w:t>
      </w:r>
      <w:r w:rsidRPr="003352FD">
        <w:rPr>
          <w:rFonts w:cs="Arial"/>
          <w:lang w:val="cs-CZ"/>
        </w:rPr>
        <w:t xml:space="preserve"> automaticky přizpůsobí povrchu, který právě vysáváte. Ať už jde o tvrdé dřevěné parkety nebo koberce, vysavač věnuje každému druhu podlahy péči šitou na míru. </w:t>
      </w:r>
    </w:p>
    <w:p w14:paraId="4046C069" w14:textId="22F236A3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</w:p>
    <w:p w14:paraId="25AD68A9" w14:textId="6EE69B49" w:rsidR="0020484A" w:rsidRPr="005544F1" w:rsidRDefault="005A76F8" w:rsidP="003352FD">
      <w:pPr>
        <w:spacing w:line="360" w:lineRule="auto"/>
        <w:jc w:val="both"/>
        <w:rPr>
          <w:rFonts w:cs="Arial"/>
          <w:color w:val="FF0000"/>
          <w:lang w:val="cs-CZ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C92D50B" wp14:editId="19DE4116">
            <wp:simplePos x="0" y="0"/>
            <wp:positionH relativeFrom="margin">
              <wp:posOffset>3321729</wp:posOffset>
            </wp:positionH>
            <wp:positionV relativeFrom="margin">
              <wp:posOffset>1997075</wp:posOffset>
            </wp:positionV>
            <wp:extent cx="1656715" cy="2058670"/>
            <wp:effectExtent l="0" t="0" r="63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6" r="21365" b="12947"/>
                    <a:stretch/>
                  </pic:blipFill>
                  <pic:spPr bwMode="auto">
                    <a:xfrm>
                      <a:off x="0" y="0"/>
                      <a:ext cx="165671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2FD" w:rsidRPr="003352FD">
        <w:rPr>
          <w:rFonts w:cs="Arial"/>
          <w:lang w:val="cs-CZ"/>
        </w:rPr>
        <w:t>Díky ergonomickému designu i teleskopické hadici lze nastavit výšku i váhu vysavače tak, abyste se i při úklidu cítili komfortně.</w:t>
      </w:r>
      <w:r w:rsidR="0020484A">
        <w:rPr>
          <w:rFonts w:cs="Arial"/>
          <w:lang w:val="cs-CZ"/>
        </w:rPr>
        <w:t xml:space="preserve"> Řeší tak problém obtížného </w:t>
      </w:r>
      <w:r w:rsidR="008816D3">
        <w:rPr>
          <w:rFonts w:cs="Arial"/>
          <w:lang w:val="cs-CZ"/>
        </w:rPr>
        <w:t>manévrování</w:t>
      </w:r>
      <w:r w:rsidR="0020484A">
        <w:rPr>
          <w:rFonts w:cs="Arial"/>
          <w:lang w:val="cs-CZ"/>
        </w:rPr>
        <w:t xml:space="preserve"> při vysávání.</w:t>
      </w:r>
      <w:r w:rsidR="003352FD" w:rsidRPr="003352FD">
        <w:rPr>
          <w:rFonts w:cs="Arial"/>
          <w:lang w:val="cs-CZ"/>
        </w:rPr>
        <w:t xml:space="preserve"> </w:t>
      </w:r>
      <w:r w:rsidR="0020484A">
        <w:rPr>
          <w:rFonts w:cs="Arial"/>
          <w:lang w:val="cs-CZ"/>
        </w:rPr>
        <w:t>Díky svému tvaru i nízké hmotnosti nabízí plynulý a hladký pohyb</w:t>
      </w:r>
      <w:r w:rsidR="003F2674">
        <w:rPr>
          <w:rFonts w:cs="Arial"/>
          <w:lang w:val="cs-CZ"/>
        </w:rPr>
        <w:t xml:space="preserve"> na jakémkoli povrchu a díky trojité filtraci neunikne žádný nežádoucí prach</w:t>
      </w:r>
      <w:r w:rsidR="009B6C49">
        <w:rPr>
          <w:rFonts w:cs="Arial"/>
          <w:lang w:val="cs-CZ"/>
        </w:rPr>
        <w:t>. V</w:t>
      </w:r>
      <w:r w:rsidR="003F2674">
        <w:rPr>
          <w:rFonts w:cs="Arial"/>
          <w:lang w:val="cs-CZ"/>
        </w:rPr>
        <w:t>y</w:t>
      </w:r>
      <w:r w:rsidR="009B6C49">
        <w:rPr>
          <w:rFonts w:cs="Arial"/>
          <w:lang w:val="cs-CZ"/>
        </w:rPr>
        <w:t xml:space="preserve"> tak</w:t>
      </w:r>
      <w:r w:rsidR="003F2674">
        <w:rPr>
          <w:rFonts w:cs="Arial"/>
          <w:lang w:val="cs-CZ"/>
        </w:rPr>
        <w:t xml:space="preserve"> máte v místnosti </w:t>
      </w:r>
      <w:r w:rsidR="0020484A">
        <w:rPr>
          <w:rFonts w:cs="Arial"/>
          <w:lang w:val="cs-CZ"/>
        </w:rPr>
        <w:t>čist</w:t>
      </w:r>
      <w:r w:rsidR="003F2674">
        <w:rPr>
          <w:rFonts w:cs="Arial"/>
          <w:lang w:val="cs-CZ"/>
        </w:rPr>
        <w:t xml:space="preserve">ý </w:t>
      </w:r>
      <w:r w:rsidR="0020484A">
        <w:rPr>
          <w:rFonts w:cs="Arial"/>
          <w:lang w:val="cs-CZ"/>
        </w:rPr>
        <w:t>vzduch</w:t>
      </w:r>
      <w:r w:rsidR="005544F1">
        <w:rPr>
          <w:rFonts w:cs="Arial"/>
          <w:lang w:val="cs-CZ"/>
        </w:rPr>
        <w:t xml:space="preserve">. </w:t>
      </w:r>
    </w:p>
    <w:p w14:paraId="54CA7964" w14:textId="408B3F7D" w:rsidR="0020484A" w:rsidRDefault="0020484A" w:rsidP="003352FD">
      <w:pPr>
        <w:spacing w:line="360" w:lineRule="auto"/>
        <w:jc w:val="both"/>
        <w:rPr>
          <w:rFonts w:cs="Arial"/>
          <w:lang w:val="cs-CZ"/>
        </w:rPr>
      </w:pPr>
    </w:p>
    <w:p w14:paraId="7550451F" w14:textId="1DD57ABD" w:rsidR="003352FD" w:rsidRDefault="003352FD" w:rsidP="003352FD">
      <w:pPr>
        <w:spacing w:line="360" w:lineRule="auto"/>
        <w:jc w:val="both"/>
        <w:rPr>
          <w:rFonts w:cs="Arial"/>
          <w:lang w:val="cs-CZ"/>
        </w:rPr>
      </w:pPr>
      <w:r w:rsidRPr="003352FD">
        <w:rPr>
          <w:rFonts w:cs="Arial"/>
          <w:lang w:val="cs-CZ"/>
        </w:rPr>
        <w:t xml:space="preserve">V průběhu vysávání si lze kdykoli dát přestávku </w:t>
      </w:r>
      <w:r w:rsidR="005A6F27">
        <w:rPr>
          <w:rFonts w:cs="Arial"/>
          <w:lang w:val="cs-CZ"/>
        </w:rPr>
        <w:br/>
      </w:r>
      <w:r w:rsidRPr="003352FD">
        <w:rPr>
          <w:rFonts w:cs="Arial"/>
          <w:lang w:val="cs-CZ"/>
        </w:rPr>
        <w:t>a jednoduše nechat vysavač stát.</w:t>
      </w:r>
      <w:r w:rsidR="008816D3">
        <w:rPr>
          <w:rFonts w:cs="Arial"/>
          <w:lang w:val="cs-CZ"/>
        </w:rPr>
        <w:t xml:space="preserve"> Vysavač</w:t>
      </w:r>
      <w:r w:rsidRPr="003352FD">
        <w:rPr>
          <w:rFonts w:cs="Arial"/>
          <w:lang w:val="cs-CZ"/>
        </w:rPr>
        <w:t xml:space="preserve"> </w:t>
      </w:r>
      <w:proofErr w:type="spellStart"/>
      <w:r w:rsidRPr="003352FD">
        <w:rPr>
          <w:rFonts w:cs="Arial"/>
          <w:lang w:val="cs-CZ"/>
        </w:rPr>
        <w:t>Pure</w:t>
      </w:r>
      <w:proofErr w:type="spellEnd"/>
      <w:r w:rsidRPr="003352FD">
        <w:rPr>
          <w:rFonts w:cs="Arial"/>
          <w:lang w:val="cs-CZ"/>
        </w:rPr>
        <w:t xml:space="preserve"> F9 je uzpůsoben k tomu, aby ve svislé poloze zůstal stát opravdu kdekoli. </w:t>
      </w:r>
    </w:p>
    <w:p w14:paraId="2378B352" w14:textId="77777777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</w:p>
    <w:p w14:paraId="68840A68" w14:textId="21FE552D" w:rsidR="003352FD" w:rsidRPr="003352FD" w:rsidRDefault="003352FD" w:rsidP="003352FD">
      <w:pPr>
        <w:spacing w:line="360" w:lineRule="auto"/>
        <w:jc w:val="both"/>
        <w:rPr>
          <w:rFonts w:cs="Arial"/>
          <w:lang w:val="cs-CZ"/>
        </w:rPr>
      </w:pPr>
      <w:r w:rsidRPr="003352FD">
        <w:rPr>
          <w:rFonts w:cs="Arial"/>
          <w:lang w:val="cs-CZ"/>
        </w:rPr>
        <w:t>„</w:t>
      </w:r>
      <w:proofErr w:type="spellStart"/>
      <w:r w:rsidRPr="003352FD">
        <w:rPr>
          <w:rFonts w:cs="Arial"/>
          <w:lang w:val="cs-CZ"/>
        </w:rPr>
        <w:t>Pure</w:t>
      </w:r>
      <w:proofErr w:type="spellEnd"/>
      <w:r w:rsidRPr="003352FD">
        <w:rPr>
          <w:rFonts w:cs="Arial"/>
          <w:lang w:val="cs-CZ"/>
        </w:rPr>
        <w:t xml:space="preserve"> F9 představuje pro domácnost pomocníka s fantastickým výkonem, výdrží baterie</w:t>
      </w:r>
      <w:r w:rsidR="005A6F27">
        <w:rPr>
          <w:rFonts w:cs="Arial"/>
          <w:lang w:val="cs-CZ"/>
        </w:rPr>
        <w:br/>
      </w:r>
      <w:r w:rsidRPr="003352FD">
        <w:rPr>
          <w:rFonts w:cs="Arial"/>
          <w:lang w:val="cs-CZ"/>
        </w:rPr>
        <w:t>i neotřelým moderním designem. Manipulace s ním je tak pohodlná, že není potřeba dalších vysavačů. Je výkonný, je krásný, je praktický. Je přesně takový, jaký si moderní doba žádá,“ do</w:t>
      </w:r>
      <w:r w:rsidR="00FA56D6">
        <w:rPr>
          <w:rFonts w:cs="Arial"/>
          <w:lang w:val="cs-CZ"/>
        </w:rPr>
        <w:t>dává</w:t>
      </w:r>
      <w:r w:rsidRPr="003352FD">
        <w:rPr>
          <w:rFonts w:cs="Arial"/>
          <w:lang w:val="cs-CZ"/>
        </w:rPr>
        <w:t xml:space="preserve"> Roman </w:t>
      </w:r>
      <w:proofErr w:type="spellStart"/>
      <w:r w:rsidRPr="003352FD">
        <w:rPr>
          <w:rFonts w:cs="Arial"/>
          <w:lang w:val="cs-CZ"/>
        </w:rPr>
        <w:t>Šebl</w:t>
      </w:r>
      <w:proofErr w:type="spellEnd"/>
      <w:r w:rsidRPr="003352FD">
        <w:rPr>
          <w:rFonts w:cs="Arial"/>
          <w:lang w:val="cs-CZ"/>
        </w:rPr>
        <w:t xml:space="preserve">. </w:t>
      </w:r>
    </w:p>
    <w:p w14:paraId="12134E90" w14:textId="09B992A1" w:rsidR="003352FD" w:rsidRDefault="003352FD" w:rsidP="003352FD">
      <w:pPr>
        <w:spacing w:line="360" w:lineRule="auto"/>
        <w:jc w:val="both"/>
        <w:rPr>
          <w:rFonts w:cs="Arial"/>
          <w:b/>
          <w:lang w:val="cs-CZ"/>
        </w:rPr>
      </w:pPr>
    </w:p>
    <w:p w14:paraId="4943F6E1" w14:textId="77777777" w:rsidR="00135CDA" w:rsidRPr="00135CDA" w:rsidRDefault="00135CDA" w:rsidP="00135CDA">
      <w:pPr>
        <w:spacing w:line="360" w:lineRule="auto"/>
        <w:jc w:val="both"/>
        <w:rPr>
          <w:rFonts w:cs="Arial"/>
          <w:b/>
          <w:lang w:val="cs-CZ"/>
        </w:rPr>
      </w:pPr>
      <w:r w:rsidRPr="00135CDA">
        <w:rPr>
          <w:rFonts w:cs="Arial"/>
          <w:b/>
          <w:lang w:val="cs-CZ"/>
        </w:rPr>
        <w:t>Nejste si jisti svým výběrem? Dáme vám 30 dnů na vyzkoušení</w:t>
      </w:r>
    </w:p>
    <w:p w14:paraId="6910C7E5" w14:textId="0775FA5D" w:rsidR="003352FD" w:rsidRPr="00135CDA" w:rsidRDefault="00135CDA" w:rsidP="00135CDA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Nyní se lze </w:t>
      </w:r>
      <w:r w:rsidRPr="00135CDA">
        <w:rPr>
          <w:rFonts w:cs="Arial"/>
          <w:lang w:val="cs-CZ"/>
        </w:rPr>
        <w:t>o výjimečných vlastnostech vysavačů</w:t>
      </w:r>
      <w:r>
        <w:rPr>
          <w:rFonts w:cs="Arial"/>
          <w:lang w:val="cs-CZ"/>
        </w:rPr>
        <w:t xml:space="preserve"> Electrolux přesvědčit díky </w:t>
      </w:r>
      <w:r w:rsidRPr="00135CDA">
        <w:rPr>
          <w:rFonts w:cs="Arial"/>
          <w:lang w:val="cs-CZ"/>
        </w:rPr>
        <w:t>záru</w:t>
      </w:r>
      <w:r>
        <w:rPr>
          <w:rFonts w:cs="Arial"/>
          <w:lang w:val="cs-CZ"/>
        </w:rPr>
        <w:t xml:space="preserve">ce </w:t>
      </w:r>
      <w:r w:rsidRPr="00135CDA">
        <w:rPr>
          <w:rFonts w:cs="Arial"/>
          <w:lang w:val="cs-CZ"/>
        </w:rPr>
        <w:t xml:space="preserve">30denní lhůty na vyzkoušení. Pokud zakoupený vysavač nebude </w:t>
      </w:r>
      <w:r>
        <w:rPr>
          <w:rFonts w:cs="Arial"/>
          <w:lang w:val="cs-CZ"/>
        </w:rPr>
        <w:t xml:space="preserve">plně </w:t>
      </w:r>
      <w:r w:rsidRPr="00135CDA">
        <w:rPr>
          <w:rFonts w:cs="Arial"/>
          <w:lang w:val="cs-CZ"/>
        </w:rPr>
        <w:t xml:space="preserve">vyhovovat, </w:t>
      </w:r>
      <w:r>
        <w:rPr>
          <w:rFonts w:cs="Arial"/>
          <w:lang w:val="cs-CZ"/>
        </w:rPr>
        <w:t xml:space="preserve">lze jej jednoduše vrátit. </w:t>
      </w:r>
      <w:r w:rsidR="00914271">
        <w:rPr>
          <w:rFonts w:cs="Arial"/>
          <w:lang w:val="cs-CZ"/>
        </w:rPr>
        <w:t xml:space="preserve">Více informací najdete na </w:t>
      </w:r>
      <w:hyperlink r:id="rId10" w:history="1">
        <w:r w:rsidR="00914271" w:rsidRPr="00914271">
          <w:rPr>
            <w:rStyle w:val="Hypertextovodkaz"/>
            <w:rFonts w:cs="Arial"/>
            <w:lang w:val="cs-CZ"/>
          </w:rPr>
          <w:t>www.electrolux.cz/vysavejtechytre</w:t>
        </w:r>
      </w:hyperlink>
      <w:r w:rsidR="00914271">
        <w:rPr>
          <w:rFonts w:cs="Arial"/>
          <w:lang w:val="cs-CZ"/>
        </w:rPr>
        <w:t xml:space="preserve">. </w:t>
      </w:r>
    </w:p>
    <w:p w14:paraId="5B77FFB7" w14:textId="63A39FA9" w:rsidR="003352FD" w:rsidRDefault="003352FD" w:rsidP="006555D7">
      <w:pPr>
        <w:spacing w:line="360" w:lineRule="auto"/>
        <w:jc w:val="both"/>
        <w:rPr>
          <w:rFonts w:cs="Arial"/>
          <w:lang w:val="cs-CZ"/>
        </w:rPr>
      </w:pPr>
    </w:p>
    <w:p w14:paraId="3F250F14" w14:textId="30DA401F" w:rsidR="004D0EB7" w:rsidRDefault="004D0EB7" w:rsidP="004D0EB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Akce se vztahuje na modely </w:t>
      </w:r>
      <w:r w:rsidRPr="004D0EB7">
        <w:rPr>
          <w:rFonts w:cs="Arial"/>
          <w:lang w:val="cs-CZ"/>
        </w:rPr>
        <w:t>PF91-4IG</w:t>
      </w:r>
      <w:r>
        <w:rPr>
          <w:rFonts w:cs="Arial"/>
          <w:lang w:val="cs-CZ"/>
        </w:rPr>
        <w:t xml:space="preserve"> / </w:t>
      </w:r>
      <w:r w:rsidRPr="004D0EB7">
        <w:rPr>
          <w:rFonts w:cs="Arial"/>
          <w:lang w:val="cs-CZ"/>
        </w:rPr>
        <w:t>PF91-4ST</w:t>
      </w:r>
      <w:r>
        <w:rPr>
          <w:rFonts w:cs="Arial"/>
          <w:lang w:val="cs-CZ"/>
        </w:rPr>
        <w:t xml:space="preserve"> / </w:t>
      </w:r>
      <w:r w:rsidRPr="004D0EB7">
        <w:rPr>
          <w:rFonts w:cs="Arial"/>
          <w:lang w:val="cs-CZ"/>
        </w:rPr>
        <w:t>PF91-6IBM</w:t>
      </w:r>
      <w:r>
        <w:rPr>
          <w:rFonts w:cs="Arial"/>
          <w:lang w:val="cs-CZ"/>
        </w:rPr>
        <w:t xml:space="preserve"> / </w:t>
      </w:r>
      <w:r w:rsidRPr="004D0EB7">
        <w:rPr>
          <w:rFonts w:cs="Arial"/>
          <w:lang w:val="cs-CZ"/>
        </w:rPr>
        <w:t>PF91-ALRGY</w:t>
      </w:r>
      <w:r>
        <w:rPr>
          <w:rFonts w:cs="Arial"/>
          <w:lang w:val="cs-CZ"/>
        </w:rPr>
        <w:t xml:space="preserve">. </w:t>
      </w:r>
    </w:p>
    <w:p w14:paraId="3FDAA5A0" w14:textId="4210C617" w:rsidR="005544F1" w:rsidRDefault="005544F1" w:rsidP="004D0EB7">
      <w:pPr>
        <w:spacing w:line="360" w:lineRule="auto"/>
        <w:jc w:val="both"/>
        <w:rPr>
          <w:rFonts w:cs="Arial"/>
          <w:lang w:val="cs-CZ"/>
        </w:rPr>
      </w:pPr>
    </w:p>
    <w:p w14:paraId="188C2777" w14:textId="77777777" w:rsidR="005544F1" w:rsidRDefault="005544F1" w:rsidP="004D0EB7">
      <w:pPr>
        <w:spacing w:line="360" w:lineRule="auto"/>
        <w:jc w:val="both"/>
        <w:rPr>
          <w:rFonts w:cs="Arial"/>
          <w:lang w:val="cs-CZ"/>
        </w:rPr>
      </w:pPr>
    </w:p>
    <w:p w14:paraId="0647A46F" w14:textId="1FE042DF" w:rsidR="008A384F" w:rsidRPr="009600E9" w:rsidRDefault="005544F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9B6C49">
        <w:t>Více n</w:t>
      </w:r>
      <w:r w:rsidRPr="009B6C49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1" w:history="1">
        <w:r w:rsidRPr="00D47E5B">
          <w:rPr>
            <w:rStyle w:val="Hypertextovodkaz"/>
            <w:rFonts w:cs="Arial"/>
            <w:lang w:val="cs-CZ"/>
          </w:rPr>
          <w:t>www.electrolux.cz</w:t>
        </w:r>
      </w:hyperlink>
      <w:r w:rsidR="00914271">
        <w:rPr>
          <w:rStyle w:val="Hypertextovodkaz"/>
          <w:rFonts w:cs="Arial"/>
          <w:lang w:val="cs-CZ"/>
        </w:rPr>
        <w:t xml:space="preserve"> </w:t>
      </w:r>
      <w:r w:rsidR="005A76F8">
        <w:rPr>
          <w:rFonts w:cs="Arial"/>
          <w:lang w:val="cs-CZ"/>
        </w:rPr>
        <w:t>a</w:t>
      </w:r>
      <w:r w:rsidR="00914271">
        <w:rPr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97118F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97118F">
        <w:rPr>
          <w:rStyle w:val="Hypertextovodkaz"/>
          <w:rFonts w:cs="Arial"/>
          <w:lang w:val="cs-CZ"/>
        </w:rPr>
        <w:t>/</w:t>
      </w:r>
      <w:r w:rsidR="009B6C49">
        <w:rPr>
          <w:rStyle w:val="Hypertextovodkaz"/>
          <w:rFonts w:cs="Arial"/>
          <w:lang w:val="cs-CZ"/>
        </w:rPr>
        <w:t>.</w:t>
      </w:r>
    </w:p>
    <w:p w14:paraId="61CB0574" w14:textId="1DE3A113" w:rsidR="0097118F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40A71DC2" w14:textId="662D7CBB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7A17094B" w14:textId="60CC69A5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1CFDD242" w14:textId="5077F65B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2532ECBC" w14:textId="2DB09C73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6B6EAB6F" w14:textId="0FB3C25B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6AFAC165" w14:textId="77777777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681186" w:rsidRDefault="005A76F8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681186" w:rsidRDefault="0097118F" w:rsidP="0097118F">
      <w:pPr>
        <w:spacing w:line="360" w:lineRule="auto"/>
        <w:jc w:val="both"/>
        <w:rPr>
          <w:sz w:val="18"/>
          <w:lang w:val="cs-CZ"/>
        </w:rPr>
      </w:pPr>
      <w:r w:rsidRPr="00681186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681186">
        <w:rPr>
          <w:sz w:val="18"/>
          <w:lang w:val="cs-CZ"/>
        </w:rPr>
        <w:t>Anova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Frigidaire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Westinghouse</w:t>
      </w:r>
      <w:proofErr w:type="spellEnd"/>
      <w:r w:rsidRPr="00681186">
        <w:rPr>
          <w:sz w:val="18"/>
          <w:lang w:val="cs-CZ"/>
        </w:rPr>
        <w:t xml:space="preserve"> a </w:t>
      </w:r>
      <w:proofErr w:type="spellStart"/>
      <w:r w:rsidRPr="00681186">
        <w:rPr>
          <w:sz w:val="18"/>
          <w:lang w:val="cs-CZ"/>
        </w:rPr>
        <w:t>Zanussi</w:t>
      </w:r>
      <w:proofErr w:type="spellEnd"/>
      <w:r w:rsidRPr="00681186">
        <w:rPr>
          <w:sz w:val="18"/>
          <w:lang w:val="cs-CZ"/>
        </w:rPr>
        <w:t xml:space="preserve">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681186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D628" w14:textId="77777777" w:rsidR="004F20C7" w:rsidRDefault="004F20C7">
      <w:r>
        <w:separator/>
      </w:r>
    </w:p>
  </w:endnote>
  <w:endnote w:type="continuationSeparator" w:id="0">
    <w:p w14:paraId="621BE969" w14:textId="77777777" w:rsidR="004F20C7" w:rsidRDefault="004F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Pres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4F20C7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Pres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4F20C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2E65" w14:textId="77777777" w:rsidR="004F20C7" w:rsidRDefault="004F20C7">
      <w:r>
        <w:separator/>
      </w:r>
    </w:p>
  </w:footnote>
  <w:footnote w:type="continuationSeparator" w:id="0">
    <w:p w14:paraId="526CC73D" w14:textId="77777777" w:rsidR="004F20C7" w:rsidRDefault="004F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4F20C7">
    <w:pPr>
      <w:pStyle w:val="Zhlav"/>
    </w:pPr>
  </w:p>
  <w:p w14:paraId="7940AEBB" w14:textId="77777777" w:rsidR="00EC251C" w:rsidRDefault="004F20C7">
    <w:pPr>
      <w:pStyle w:val="Zhlav"/>
    </w:pPr>
  </w:p>
  <w:p w14:paraId="417C47E6" w14:textId="77777777" w:rsidR="00EC251C" w:rsidRDefault="004F20C7">
    <w:pPr>
      <w:pStyle w:val="Zhlav"/>
    </w:pPr>
  </w:p>
  <w:p w14:paraId="57DF2815" w14:textId="77777777" w:rsidR="00EC251C" w:rsidRDefault="004F20C7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4F20C7">
    <w:pPr>
      <w:pStyle w:val="Zhlav"/>
    </w:pPr>
  </w:p>
  <w:p w14:paraId="07C5D8E9" w14:textId="77777777" w:rsidR="00EC251C" w:rsidRDefault="004F20C7">
    <w:pPr>
      <w:pStyle w:val="Zhlav"/>
    </w:pPr>
  </w:p>
  <w:p w14:paraId="4C1F29AD" w14:textId="77777777" w:rsidR="00EC251C" w:rsidRDefault="004F20C7">
    <w:pPr>
      <w:pStyle w:val="Zhlav"/>
    </w:pPr>
  </w:p>
  <w:p w14:paraId="628EB32D" w14:textId="77777777" w:rsidR="00EC251C" w:rsidRDefault="004F20C7">
    <w:pPr>
      <w:pStyle w:val="Zhlav"/>
    </w:pPr>
  </w:p>
  <w:p w14:paraId="177CC3AE" w14:textId="77777777" w:rsidR="00EC251C" w:rsidRDefault="004F20C7">
    <w:pPr>
      <w:pStyle w:val="Zhlav"/>
    </w:pPr>
  </w:p>
  <w:p w14:paraId="286BA721" w14:textId="409098F3" w:rsidR="00EC251C" w:rsidRDefault="004F20C7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4F20C7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4F20C7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4F20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4F20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4F20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4F20C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4F20C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4F20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4F20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4F20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C0687"/>
    <w:rsid w:val="005D00BD"/>
    <w:rsid w:val="005D14D0"/>
    <w:rsid w:val="005E0D4D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7B0A"/>
    <w:rsid w:val="00700EA9"/>
    <w:rsid w:val="00704519"/>
    <w:rsid w:val="0071327E"/>
    <w:rsid w:val="0071768B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2765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E5390"/>
    <w:rsid w:val="00CF26A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lux.cz/vysavejtechyt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5D4A-F352-4A3A-AB8E-F0E7847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15</TotalTime>
  <Pages>1</Pages>
  <Words>523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2018-08-22T19:17:00Z</dcterms:created>
  <dcterms:modified xsi:type="dcterms:W3CDTF">2018-08-23T07:50:00Z</dcterms:modified>
</cp:coreProperties>
</file>