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AD3F" w14:textId="45D62D0E" w:rsidR="003D1D69" w:rsidRPr="00D43BBE" w:rsidRDefault="00132149" w:rsidP="00DB2409">
      <w:pPr>
        <w:spacing w:line="360" w:lineRule="auto"/>
        <w:jc w:val="both"/>
        <w:rPr>
          <w:lang w:val="cs-CZ"/>
        </w:rPr>
      </w:pPr>
      <w:r w:rsidRPr="0013214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Čočka na talíři, peníze v kapse – příprava tradiční novoroční polévk</w:t>
      </w:r>
      <w:r w:rsidR="00747D3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y s </w:t>
      </w:r>
      <w:r w:rsidRPr="0013214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pomoc</w:t>
      </w:r>
      <w:r w:rsidR="003C1D63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í</w:t>
      </w:r>
      <w:r w:rsidRPr="0013214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  <w:bookmarkStart w:id="0" w:name="_Hlk500413613"/>
      <w:r w:rsidRPr="0013214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páry</w:t>
      </w:r>
      <w:bookmarkEnd w:id="0"/>
    </w:p>
    <w:p w14:paraId="61EDA29D" w14:textId="543C0473" w:rsidR="00574C03" w:rsidRPr="00F836A0" w:rsidRDefault="00F836A0" w:rsidP="00DB2409">
      <w:pPr>
        <w:pStyle w:val="Podnadpis"/>
        <w:spacing w:line="360" w:lineRule="auto"/>
        <w:jc w:val="both"/>
        <w:rPr>
          <w:rFonts w:ascii="Electrolux" w:eastAsia="Times New Roman" w:hAnsi="Electrolux" w:cs="Arial"/>
          <w:b w:val="0"/>
          <w:szCs w:val="22"/>
        </w:rPr>
      </w:pPr>
      <w:r w:rsidRPr="00F836A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786FF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12</w:t>
      </w:r>
      <w:r w:rsidRPr="00F836A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 prosince 2017</w:t>
      </w:r>
      <w:r w:rsidR="00574C03" w:rsidRPr="00F836A0">
        <w:rPr>
          <w:rFonts w:ascii="Electrolux" w:eastAsia="Times New Roman" w:hAnsi="Electrolux" w:cs="Arial"/>
          <w:b w:val="0"/>
          <w:szCs w:val="22"/>
        </w:rPr>
        <w:t xml:space="preserve"> </w:t>
      </w:r>
    </w:p>
    <w:p w14:paraId="73F13EA6" w14:textId="77777777" w:rsidR="00956A3B" w:rsidRPr="00F4716D" w:rsidRDefault="00956A3B" w:rsidP="00DB2409">
      <w:pPr>
        <w:jc w:val="both"/>
        <w:rPr>
          <w:rFonts w:cs="Arial"/>
        </w:rPr>
      </w:pPr>
    </w:p>
    <w:p w14:paraId="26781E64" w14:textId="46FFBF50" w:rsidR="00D5693F" w:rsidRDefault="00D5693F" w:rsidP="00D5693F">
      <w:pPr>
        <w:shd w:val="clear" w:color="auto" w:fill="FFFFFF"/>
        <w:spacing w:before="150" w:line="360" w:lineRule="auto"/>
        <w:jc w:val="both"/>
        <w:rPr>
          <w:rFonts w:cs="Arial"/>
          <w:b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077F1E2" wp14:editId="3DE3403D">
            <wp:simplePos x="0" y="0"/>
            <wp:positionH relativeFrom="margin">
              <wp:align>right</wp:align>
            </wp:positionH>
            <wp:positionV relativeFrom="margin">
              <wp:posOffset>2181860</wp:posOffset>
            </wp:positionV>
            <wp:extent cx="1726497" cy="2592000"/>
            <wp:effectExtent l="5397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649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149" w:rsidRPr="00132149">
        <w:rPr>
          <w:rFonts w:cs="Arial"/>
          <w:b/>
          <w:lang w:val="cs-CZ"/>
        </w:rPr>
        <w:t>Na novoročně prostřené tabuli by se dle tradice nemělo nacházet nic rychlého ani létavého.</w:t>
      </w:r>
      <w:r w:rsidR="00132149">
        <w:rPr>
          <w:rFonts w:cs="Arial"/>
          <w:b/>
          <w:lang w:val="cs-CZ"/>
        </w:rPr>
        <w:t xml:space="preserve"> </w:t>
      </w:r>
      <w:r w:rsidR="00132149" w:rsidRPr="00132149">
        <w:rPr>
          <w:rFonts w:cs="Arial"/>
          <w:b/>
          <w:lang w:val="cs-CZ"/>
        </w:rPr>
        <w:t>S kuřetem nebo husou by nám totiž peníze ulétly do nebe, se zajícem zase utekly do lesa. Existuje však způsob, jak si peníze udržet. Připravte svým blízkým polévku z čočky, dle pověr se jim pak každé zrnko promění v peníz.</w:t>
      </w:r>
    </w:p>
    <w:p w14:paraId="1076E608" w14:textId="45BEE263" w:rsidR="006E290D" w:rsidRPr="00F4716D" w:rsidRDefault="006E290D" w:rsidP="00D5693F">
      <w:pPr>
        <w:shd w:val="clear" w:color="auto" w:fill="FFFFFF"/>
        <w:spacing w:before="150" w:line="360" w:lineRule="auto"/>
        <w:jc w:val="both"/>
        <w:rPr>
          <w:rFonts w:cs="Arial"/>
          <w:b/>
          <w:lang w:val="cs-CZ"/>
        </w:rPr>
      </w:pPr>
    </w:p>
    <w:p w14:paraId="131B9DE6" w14:textId="3CB1B7EE" w:rsid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 xml:space="preserve">První den nového roku – už také téměř tradičně – bývá </w:t>
      </w:r>
      <w:r w:rsidR="00DB2409">
        <w:rPr>
          <w:rFonts w:cs="Arial"/>
          <w:lang w:val="cs-CZ"/>
        </w:rPr>
        <w:t xml:space="preserve">poněkud </w:t>
      </w:r>
      <w:r w:rsidRPr="00132149">
        <w:rPr>
          <w:rFonts w:cs="Arial"/>
          <w:lang w:val="cs-CZ"/>
        </w:rPr>
        <w:t xml:space="preserve">náročný. </w:t>
      </w:r>
      <w:r>
        <w:rPr>
          <w:rFonts w:cs="Arial"/>
          <w:lang w:val="cs-CZ"/>
        </w:rPr>
        <w:t>Zeleninová</w:t>
      </w:r>
      <w:r w:rsidRPr="00132149">
        <w:rPr>
          <w:rFonts w:cs="Arial"/>
          <w:lang w:val="cs-CZ"/>
        </w:rPr>
        <w:t xml:space="preserve"> polévka s čočkou </w:t>
      </w:r>
      <w:r>
        <w:rPr>
          <w:rFonts w:cs="Arial"/>
          <w:lang w:val="cs-CZ"/>
        </w:rPr>
        <w:t xml:space="preserve">je tak </w:t>
      </w:r>
      <w:r w:rsidRPr="00132149">
        <w:rPr>
          <w:rFonts w:cs="Arial"/>
          <w:lang w:val="cs-CZ"/>
        </w:rPr>
        <w:t>ideálním pokrmem po bujarých silvestrovských oslavách. Příprava je velice jednoduchá a nezabere moc času. To, že vám pak v průběhu celého roku čočka přináší peníze do peněženky, je příjemným bonusem</w:t>
      </w:r>
      <w:r>
        <w:rPr>
          <w:rFonts w:cs="Arial"/>
          <w:lang w:val="cs-CZ"/>
        </w:rPr>
        <w:t xml:space="preserve"> k její výtečné chuti</w:t>
      </w:r>
      <w:r w:rsidRPr="00132149">
        <w:rPr>
          <w:rFonts w:cs="Arial"/>
          <w:lang w:val="cs-CZ"/>
        </w:rPr>
        <w:t xml:space="preserve">. </w:t>
      </w:r>
    </w:p>
    <w:p w14:paraId="3DD8EEA6" w14:textId="77777777" w:rsidR="00B05A52" w:rsidRPr="00132149" w:rsidRDefault="00B05A52" w:rsidP="00DB2409">
      <w:pPr>
        <w:spacing w:line="360" w:lineRule="auto"/>
        <w:jc w:val="both"/>
        <w:rPr>
          <w:rFonts w:cs="Arial"/>
          <w:lang w:val="cs-CZ"/>
        </w:rPr>
      </w:pPr>
    </w:p>
    <w:p w14:paraId="20DF5950" w14:textId="3A003D26" w:rsidR="003C1D63" w:rsidRDefault="00DB2409" w:rsidP="00DB2409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Navíc, p</w:t>
      </w:r>
      <w:r w:rsidR="00132149" w:rsidRPr="00132149">
        <w:rPr>
          <w:rFonts w:cs="Arial"/>
          <w:lang w:val="cs-CZ"/>
        </w:rPr>
        <w:t xml:space="preserve">okud si jako pomocníka zvolíte multifunkční parní troubu, </w:t>
      </w:r>
      <w:r w:rsidR="00D0610C">
        <w:rPr>
          <w:rFonts w:cs="Arial"/>
          <w:lang w:val="cs-CZ"/>
        </w:rPr>
        <w:t>objevíte</w:t>
      </w:r>
      <w:r w:rsidR="000270B1">
        <w:rPr>
          <w:rFonts w:cs="Arial"/>
          <w:lang w:val="cs-CZ"/>
        </w:rPr>
        <w:t xml:space="preserve"> nejedno</w:t>
      </w:r>
      <w:r w:rsidR="00D0610C">
        <w:rPr>
          <w:rFonts w:cs="Arial"/>
          <w:lang w:val="cs-CZ"/>
        </w:rPr>
        <w:t xml:space="preserve"> tajemství šéfkuchařů. </w:t>
      </w:r>
      <w:r w:rsidR="00525D5E">
        <w:rPr>
          <w:rFonts w:cs="Arial"/>
          <w:lang w:val="cs-CZ"/>
        </w:rPr>
        <w:t>Výhodou</w:t>
      </w:r>
      <w:r w:rsidR="00132149" w:rsidRPr="00132149">
        <w:rPr>
          <w:rFonts w:cs="Arial"/>
          <w:lang w:val="cs-CZ"/>
        </w:rPr>
        <w:t xml:space="preserve"> páry </w:t>
      </w:r>
      <w:r w:rsidR="008A31E3">
        <w:rPr>
          <w:rFonts w:cs="Arial"/>
          <w:lang w:val="cs-CZ"/>
        </w:rPr>
        <w:t xml:space="preserve">totiž </w:t>
      </w:r>
      <w:r w:rsidR="00132149" w:rsidRPr="00132149">
        <w:rPr>
          <w:rFonts w:cs="Arial"/>
          <w:lang w:val="cs-CZ"/>
        </w:rPr>
        <w:t xml:space="preserve">je, že zvýrazní chuť potravin, podtrhne přirozenou strukturu a zachová barvu i důležité vitaminy. </w:t>
      </w:r>
    </w:p>
    <w:p w14:paraId="3636A79B" w14:textId="77777777" w:rsidR="003C1D63" w:rsidRDefault="003C1D63" w:rsidP="00DB2409">
      <w:pPr>
        <w:spacing w:line="360" w:lineRule="auto"/>
        <w:jc w:val="both"/>
        <w:rPr>
          <w:rFonts w:cs="Arial"/>
          <w:lang w:val="cs-CZ"/>
        </w:rPr>
      </w:pPr>
    </w:p>
    <w:p w14:paraId="0A0D1E1E" w14:textId="448B549E" w:rsidR="002F08D4" w:rsidRDefault="00D0610C" w:rsidP="00DB2409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Multifunkční parní trouba pomocí </w:t>
      </w:r>
      <w:r w:rsidR="00B05A52">
        <w:rPr>
          <w:rFonts w:cs="Arial"/>
          <w:lang w:val="cs-CZ"/>
        </w:rPr>
        <w:t xml:space="preserve">teplotní </w:t>
      </w:r>
      <w:r>
        <w:rPr>
          <w:rFonts w:cs="Arial"/>
          <w:lang w:val="cs-CZ"/>
        </w:rPr>
        <w:t>sondy sama ohlídá vámi zvolenou teplotu</w:t>
      </w:r>
      <w:r w:rsidR="00250B3D">
        <w:rPr>
          <w:rFonts w:cs="Arial"/>
          <w:lang w:val="cs-CZ"/>
        </w:rPr>
        <w:t xml:space="preserve"> bez nutnosti neustálé kontroly. </w:t>
      </w:r>
      <w:r w:rsidR="002F08D4" w:rsidRPr="002F08D4">
        <w:rPr>
          <w:rFonts w:cs="Arial"/>
          <w:lang w:val="cs-CZ"/>
        </w:rPr>
        <w:t>Většina multifunkčních parních trub Electrolux je</w:t>
      </w:r>
      <w:r w:rsidR="002F08D4">
        <w:rPr>
          <w:rFonts w:cs="Arial"/>
          <w:lang w:val="cs-CZ"/>
        </w:rPr>
        <w:t xml:space="preserve"> </w:t>
      </w:r>
      <w:r w:rsidR="002F08D4" w:rsidRPr="002F08D4">
        <w:rPr>
          <w:rFonts w:cs="Arial"/>
          <w:lang w:val="cs-CZ"/>
        </w:rPr>
        <w:t xml:space="preserve">vybavena systémem </w:t>
      </w:r>
      <w:proofErr w:type="spellStart"/>
      <w:r w:rsidR="002F08D4" w:rsidRPr="002F08D4">
        <w:rPr>
          <w:rFonts w:cs="Arial"/>
          <w:lang w:val="cs-CZ"/>
        </w:rPr>
        <w:t>UltraFan</w:t>
      </w:r>
      <w:proofErr w:type="spellEnd"/>
      <w:r w:rsidR="002F08D4" w:rsidRPr="002F08D4">
        <w:rPr>
          <w:rFonts w:cs="Arial"/>
          <w:lang w:val="cs-CZ"/>
        </w:rPr>
        <w:t xml:space="preserve"> Plus, </w:t>
      </w:r>
      <w:r w:rsidR="002F08D4">
        <w:rPr>
          <w:rFonts w:cs="Arial"/>
          <w:lang w:val="cs-CZ"/>
        </w:rPr>
        <w:t>který představuje větší ventilátor, než je obvyklé</w:t>
      </w:r>
      <w:r w:rsidR="00415C23">
        <w:rPr>
          <w:rFonts w:cs="Arial"/>
          <w:lang w:val="cs-CZ"/>
        </w:rPr>
        <w:t>,</w:t>
      </w:r>
      <w:r w:rsidR="00250B3D">
        <w:rPr>
          <w:rFonts w:cs="Arial"/>
          <w:lang w:val="cs-CZ"/>
        </w:rPr>
        <w:t xml:space="preserve"> a díky kterému je tak využívá</w:t>
      </w:r>
      <w:r w:rsidR="00B60CD4">
        <w:rPr>
          <w:rFonts w:cs="Arial"/>
          <w:lang w:val="cs-CZ"/>
        </w:rPr>
        <w:t>n</w:t>
      </w:r>
      <w:r w:rsidR="00250B3D">
        <w:rPr>
          <w:rFonts w:cs="Arial"/>
          <w:lang w:val="cs-CZ"/>
        </w:rPr>
        <w:t xml:space="preserve"> každý centimetr trouby rovnoměrně.</w:t>
      </w:r>
    </w:p>
    <w:p w14:paraId="4135EAE8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</w:p>
    <w:p w14:paraId="0215E07E" w14:textId="52BF85F5" w:rsidR="00132149" w:rsidRPr="00132149" w:rsidRDefault="00132149" w:rsidP="00DB2409">
      <w:pPr>
        <w:spacing w:line="360" w:lineRule="auto"/>
        <w:jc w:val="both"/>
        <w:rPr>
          <w:rFonts w:cs="Arial"/>
          <w:b/>
          <w:lang w:val="cs-CZ"/>
        </w:rPr>
      </w:pPr>
      <w:r w:rsidRPr="00132149">
        <w:rPr>
          <w:rFonts w:cs="Arial"/>
          <w:b/>
          <w:lang w:val="cs-CZ"/>
        </w:rPr>
        <w:t>Na přípravu zeleninové polévky s čočkou bude</w:t>
      </w:r>
      <w:r w:rsidR="00DB2409">
        <w:rPr>
          <w:rFonts w:cs="Arial"/>
          <w:b/>
          <w:lang w:val="cs-CZ"/>
        </w:rPr>
        <w:t>t</w:t>
      </w:r>
      <w:r w:rsidRPr="00132149">
        <w:rPr>
          <w:rFonts w:cs="Arial"/>
          <w:b/>
          <w:lang w:val="cs-CZ"/>
        </w:rPr>
        <w:t>e potřebovat:</w:t>
      </w:r>
    </w:p>
    <w:p w14:paraId="2469F11E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</w:p>
    <w:p w14:paraId="1C51E238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250 g batátů </w:t>
      </w:r>
    </w:p>
    <w:p w14:paraId="0C604AC7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200 g celerové bulvy </w:t>
      </w:r>
    </w:p>
    <w:p w14:paraId="652162E5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>250 g mrkve</w:t>
      </w:r>
    </w:p>
    <w:p w14:paraId="4CDBEAA5" w14:textId="52242A38" w:rsid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>250 g kořenové petržele</w:t>
      </w:r>
    </w:p>
    <w:p w14:paraId="507479D0" w14:textId="1F7207BE" w:rsidR="00D5693F" w:rsidRDefault="00D5693F" w:rsidP="00DB2409">
      <w:pPr>
        <w:spacing w:line="360" w:lineRule="auto"/>
        <w:jc w:val="both"/>
        <w:rPr>
          <w:rFonts w:cs="Arial"/>
          <w:lang w:val="cs-CZ"/>
        </w:rPr>
      </w:pPr>
    </w:p>
    <w:p w14:paraId="749FBC11" w14:textId="77777777" w:rsidR="00D5693F" w:rsidRPr="00132149" w:rsidRDefault="00D5693F" w:rsidP="00DB2409">
      <w:pPr>
        <w:spacing w:line="360" w:lineRule="auto"/>
        <w:jc w:val="both"/>
        <w:rPr>
          <w:rFonts w:cs="Arial"/>
          <w:lang w:val="cs-CZ"/>
        </w:rPr>
      </w:pPr>
    </w:p>
    <w:p w14:paraId="2BC594A8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lastRenderedPageBreak/>
        <w:t>•</w:t>
      </w:r>
      <w:r w:rsidRPr="00132149">
        <w:rPr>
          <w:rFonts w:cs="Arial"/>
          <w:lang w:val="cs-CZ"/>
        </w:rPr>
        <w:tab/>
        <w:t xml:space="preserve">2 šalotky </w:t>
      </w:r>
    </w:p>
    <w:p w14:paraId="55E4CD44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>3 stroužky česneku</w:t>
      </w:r>
    </w:p>
    <w:p w14:paraId="1A2D0D5E" w14:textId="4D668A6B" w:rsidR="003C1D63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>4 snítky tymiánu</w:t>
      </w:r>
    </w:p>
    <w:p w14:paraId="306CB577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1 bobkový list </w:t>
      </w:r>
    </w:p>
    <w:p w14:paraId="557A7071" w14:textId="6C58701C" w:rsid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2 lžíce másla </w:t>
      </w:r>
    </w:p>
    <w:p w14:paraId="55389390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>200 ml sladké smetany</w:t>
      </w:r>
    </w:p>
    <w:p w14:paraId="7681E675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1 500 ml zeleninového vývaru </w:t>
      </w:r>
    </w:p>
    <w:p w14:paraId="70730CF7" w14:textId="44343028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>mořsk</w:t>
      </w:r>
      <w:r w:rsidR="003C1D63">
        <w:rPr>
          <w:rFonts w:cs="Arial"/>
          <w:lang w:val="cs-CZ"/>
        </w:rPr>
        <w:t>ou sůl</w:t>
      </w:r>
    </w:p>
    <w:p w14:paraId="08C54051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čerstvě mletý pepř </w:t>
      </w:r>
    </w:p>
    <w:p w14:paraId="12411C26" w14:textId="3CFC1E46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1 hrnek </w:t>
      </w:r>
      <w:proofErr w:type="spellStart"/>
      <w:r w:rsidRPr="00132149">
        <w:rPr>
          <w:rFonts w:cs="Arial"/>
          <w:lang w:val="cs-CZ"/>
        </w:rPr>
        <w:t>belug</w:t>
      </w:r>
      <w:r w:rsidR="00747D39">
        <w:rPr>
          <w:rFonts w:cs="Arial"/>
          <w:lang w:val="cs-CZ"/>
        </w:rPr>
        <w:t>a</w:t>
      </w:r>
      <w:proofErr w:type="spellEnd"/>
      <w:r w:rsidRPr="00132149">
        <w:rPr>
          <w:rFonts w:cs="Arial"/>
          <w:lang w:val="cs-CZ"/>
        </w:rPr>
        <w:t xml:space="preserve"> nebo hnědo-zelené čočky </w:t>
      </w:r>
    </w:p>
    <w:p w14:paraId="66E1A489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 xml:space="preserve">3 hrnky vody nebo vývaru </w:t>
      </w:r>
    </w:p>
    <w:p w14:paraId="79720797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>•</w:t>
      </w:r>
      <w:r w:rsidRPr="00132149">
        <w:rPr>
          <w:rFonts w:cs="Arial"/>
          <w:lang w:val="cs-CZ"/>
        </w:rPr>
        <w:tab/>
        <w:t>bylinky či restované oříšky na servírování</w:t>
      </w:r>
    </w:p>
    <w:p w14:paraId="269A144F" w14:textId="77777777" w:rsidR="00132149" w:rsidRPr="00132149" w:rsidRDefault="00132149" w:rsidP="00DB2409">
      <w:pPr>
        <w:spacing w:line="360" w:lineRule="auto"/>
        <w:jc w:val="both"/>
        <w:rPr>
          <w:rFonts w:cs="Arial"/>
          <w:lang w:val="cs-CZ"/>
        </w:rPr>
      </w:pPr>
    </w:p>
    <w:p w14:paraId="2B7092EF" w14:textId="335678B9" w:rsidR="00026BDA" w:rsidRPr="00F4716D" w:rsidRDefault="00132149" w:rsidP="00DB2409">
      <w:pPr>
        <w:spacing w:line="360" w:lineRule="auto"/>
        <w:jc w:val="both"/>
        <w:rPr>
          <w:rFonts w:cs="Arial"/>
          <w:lang w:val="cs-CZ"/>
        </w:rPr>
      </w:pPr>
      <w:r w:rsidRPr="00132149">
        <w:rPr>
          <w:rFonts w:cs="Arial"/>
          <w:lang w:val="cs-CZ"/>
        </w:rPr>
        <w:t xml:space="preserve">Namočte si čočku ideálně den předem. Očistěte batáty, celer, petržel, mrkev a nakrájejte je na větší kousky. Mrkev i petržel mohou zůstat v celku. Zeleninu dejte do perforovaného pekáče a pečte v režimu Vaření v páře </w:t>
      </w:r>
      <w:r w:rsidR="005712A0">
        <w:rPr>
          <w:rFonts w:cs="Arial"/>
          <w:lang w:val="cs-CZ"/>
        </w:rPr>
        <w:t xml:space="preserve">na </w:t>
      </w:r>
      <w:r w:rsidRPr="00132149">
        <w:rPr>
          <w:rFonts w:cs="Arial"/>
          <w:lang w:val="cs-CZ"/>
        </w:rPr>
        <w:t>99 °C přibližně 30 minut. Nakrájejte šalotku na kostičky, dejte ji do hrnce spolu s máslem a osmažte do měkka. Přidejte propasírovaný česnek, tymián, bobkový list</w:t>
      </w:r>
      <w:r w:rsidR="00786FF9">
        <w:rPr>
          <w:rFonts w:cs="Arial"/>
          <w:lang w:val="cs-CZ"/>
        </w:rPr>
        <w:t>,</w:t>
      </w:r>
      <w:r w:rsidRPr="00132149">
        <w:rPr>
          <w:rFonts w:cs="Arial"/>
          <w:lang w:val="cs-CZ"/>
        </w:rPr>
        <w:t xml:space="preserve"> a ještě chvíli restujte. Mezitím si uvařte čočku v trojnásobku vody nebo vývaru do měkka. H</w:t>
      </w:r>
      <w:bookmarkStart w:id="1" w:name="_GoBack"/>
      <w:bookmarkEnd w:id="1"/>
      <w:r w:rsidRPr="00132149">
        <w:rPr>
          <w:rFonts w:cs="Arial"/>
          <w:lang w:val="cs-CZ"/>
        </w:rPr>
        <w:t>otovou zeleninu a cibulový základ bez bobkového listu a tymiánu rozmixujte spolu s teplým vývarem na hladký krém. Polévku osolte, opepřete, vmíchejte do ní smetanu a už jen krátce povařte. Na závěr přidejte uvařenou a scezenou čočku. Servírujte s čerstvou petrželí, obilnými klíčky nebo například orestovanými oříšky.</w:t>
      </w:r>
    </w:p>
    <w:p w14:paraId="4418C0DF" w14:textId="04AC0860" w:rsidR="000813F8" w:rsidRDefault="000813F8" w:rsidP="00DB2409">
      <w:pPr>
        <w:spacing w:line="360" w:lineRule="auto"/>
        <w:jc w:val="both"/>
        <w:rPr>
          <w:lang w:val="cs-CZ"/>
        </w:rPr>
      </w:pPr>
    </w:p>
    <w:p w14:paraId="3CA5C08F" w14:textId="63F168EC" w:rsidR="002F08D4" w:rsidRDefault="002F08D4" w:rsidP="00DB2409">
      <w:pPr>
        <w:spacing w:line="360" w:lineRule="auto"/>
        <w:jc w:val="both"/>
        <w:rPr>
          <w:b/>
          <w:lang w:val="cs-CZ"/>
        </w:rPr>
      </w:pPr>
      <w:r w:rsidRPr="002F08D4">
        <w:rPr>
          <w:b/>
          <w:lang w:val="cs-CZ"/>
        </w:rPr>
        <w:t>Electrolux nabízí tyto modely multifunkčních</w:t>
      </w:r>
      <w:r w:rsidR="00DB69C8">
        <w:rPr>
          <w:b/>
          <w:lang w:val="cs-CZ"/>
        </w:rPr>
        <w:t xml:space="preserve"> parních</w:t>
      </w:r>
      <w:r w:rsidRPr="002F08D4">
        <w:rPr>
          <w:b/>
          <w:lang w:val="cs-CZ"/>
        </w:rPr>
        <w:t xml:space="preserve"> trub</w:t>
      </w:r>
      <w:r w:rsidR="003C1D63">
        <w:rPr>
          <w:b/>
          <w:lang w:val="cs-CZ"/>
        </w:rPr>
        <w:t>:</w:t>
      </w:r>
    </w:p>
    <w:p w14:paraId="52963F00" w14:textId="478E3942" w:rsidR="005560CA" w:rsidRDefault="00864546" w:rsidP="00DB2409">
      <w:pPr>
        <w:spacing w:line="360" w:lineRule="auto"/>
        <w:jc w:val="both"/>
        <w:rPr>
          <w:rFonts w:cs="Arial"/>
          <w:color w:val="4F4E53"/>
          <w:shd w:val="clear" w:color="auto" w:fill="FFFFFF"/>
        </w:rPr>
      </w:pPr>
      <w:r w:rsidRPr="00864546">
        <w:rPr>
          <w:rFonts w:cs="Arial"/>
          <w:color w:val="4F4E53"/>
          <w:shd w:val="clear" w:color="auto" w:fill="FFFFFF"/>
        </w:rPr>
        <w:t xml:space="preserve">EOB6220AOR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EOB6631BOX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EOB6631CAX </w:t>
      </w:r>
      <w:r w:rsidR="005560CA">
        <w:rPr>
          <w:rFonts w:cs="Arial"/>
          <w:color w:val="4F4E53"/>
          <w:shd w:val="clear" w:color="auto" w:fill="FFFFFF"/>
        </w:rPr>
        <w:t xml:space="preserve">/ </w:t>
      </w:r>
      <w:r w:rsidRPr="00864546">
        <w:rPr>
          <w:rFonts w:cs="Arial"/>
          <w:color w:val="4F4E53"/>
          <w:shd w:val="clear" w:color="auto" w:fill="FFFFFF"/>
        </w:rPr>
        <w:t xml:space="preserve">EOB6850BOX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EOB6850BOX </w:t>
      </w:r>
      <w:r w:rsidR="005560CA" w:rsidRPr="005560CA">
        <w:rPr>
          <w:rFonts w:cs="Arial"/>
          <w:color w:val="4F4E53"/>
          <w:shd w:val="clear" w:color="auto" w:fill="FFFFFF"/>
        </w:rPr>
        <w:t xml:space="preserve">/ </w:t>
      </w:r>
      <w:r w:rsidRPr="00864546">
        <w:rPr>
          <w:rFonts w:cs="Arial"/>
          <w:color w:val="4F4E53"/>
          <w:shd w:val="clear" w:color="auto" w:fill="FFFFFF"/>
        </w:rPr>
        <w:t xml:space="preserve">EOB8757AOX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EOB8857AAX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EOB8956AOX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EOB9851XAX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EOB9851ZOZ </w:t>
      </w:r>
      <w:r w:rsidR="005560CA" w:rsidRPr="005560CA">
        <w:rPr>
          <w:rFonts w:cs="Arial"/>
          <w:color w:val="4F4E53"/>
          <w:shd w:val="clear" w:color="auto" w:fill="FFFFFF"/>
        </w:rPr>
        <w:t xml:space="preserve">/ </w:t>
      </w:r>
      <w:r w:rsidRPr="00864546">
        <w:rPr>
          <w:rFonts w:cs="Arial"/>
          <w:color w:val="4F4E53"/>
          <w:shd w:val="clear" w:color="auto" w:fill="FFFFFF"/>
        </w:rPr>
        <w:t>EOB9956XAX</w:t>
      </w:r>
      <w:r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 </w:t>
      </w:r>
      <w:r w:rsidR="004D319C">
        <w:rPr>
          <w:rFonts w:cs="Arial"/>
          <w:color w:val="4F4E53"/>
          <w:shd w:val="clear" w:color="auto" w:fill="FFFFFF"/>
        </w:rPr>
        <w:t xml:space="preserve"> </w:t>
      </w:r>
      <w:r w:rsidR="005560CA" w:rsidRPr="005560CA">
        <w:rPr>
          <w:rFonts w:cs="Arial"/>
          <w:color w:val="4F4E53"/>
          <w:shd w:val="clear" w:color="auto" w:fill="FFFFFF"/>
        </w:rPr>
        <w:t xml:space="preserve">/ 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>EOC6851DAX</w:t>
      </w:r>
      <w:r>
        <w:rPr>
          <w:rFonts w:cs="Arial"/>
          <w:color w:val="4F4E53"/>
          <w:shd w:val="clear" w:color="auto" w:fill="FFFFFF"/>
        </w:rPr>
        <w:t xml:space="preserve"> </w:t>
      </w:r>
      <w:r w:rsidR="005560CA" w:rsidRPr="005560CA">
        <w:rPr>
          <w:rFonts w:cs="Arial"/>
          <w:color w:val="4F4E53"/>
          <w:shd w:val="clear" w:color="auto" w:fill="FFFFFF"/>
        </w:rPr>
        <w:t>/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="005560CA" w:rsidRPr="005560CA">
        <w:rPr>
          <w:rFonts w:cs="Arial"/>
          <w:color w:val="4F4E53"/>
          <w:shd w:val="clear" w:color="auto" w:fill="FFFFFF"/>
        </w:rPr>
        <w:t xml:space="preserve"> </w:t>
      </w:r>
      <w:r w:rsidR="005560CA">
        <w:rPr>
          <w:rFonts w:cs="Arial"/>
          <w:color w:val="4F4E53"/>
          <w:shd w:val="clear" w:color="auto" w:fill="FFFFFF"/>
        </w:rPr>
        <w:t xml:space="preserve"> </w:t>
      </w:r>
      <w:r w:rsidRPr="00864546">
        <w:rPr>
          <w:rFonts w:cs="Arial"/>
          <w:color w:val="4F4E53"/>
          <w:shd w:val="clear" w:color="auto" w:fill="FFFFFF"/>
        </w:rPr>
        <w:t xml:space="preserve">EVY0841BAX </w:t>
      </w:r>
      <w:r>
        <w:rPr>
          <w:rFonts w:cs="Arial"/>
          <w:color w:val="4F4E53"/>
          <w:shd w:val="clear" w:color="auto" w:fill="FFFFFF"/>
        </w:rPr>
        <w:t xml:space="preserve"> </w:t>
      </w:r>
      <w:r w:rsidR="005560CA" w:rsidRPr="005560CA">
        <w:rPr>
          <w:rFonts w:cs="Arial"/>
          <w:color w:val="4F4E53"/>
          <w:shd w:val="clear" w:color="auto" w:fill="FFFFFF"/>
        </w:rPr>
        <w:t xml:space="preserve">/ </w:t>
      </w:r>
      <w:r>
        <w:rPr>
          <w:rFonts w:cs="Arial"/>
          <w:color w:val="4F4E53"/>
          <w:shd w:val="clear" w:color="auto" w:fill="FFFFFF"/>
        </w:rPr>
        <w:t xml:space="preserve">  </w:t>
      </w:r>
      <w:r w:rsidRPr="00864546">
        <w:rPr>
          <w:rFonts w:cs="Arial"/>
          <w:color w:val="4F4E53"/>
          <w:shd w:val="clear" w:color="auto" w:fill="FFFFFF"/>
        </w:rPr>
        <w:t>EVY0841BAX</w:t>
      </w:r>
    </w:p>
    <w:p w14:paraId="15F34DB7" w14:textId="77777777" w:rsidR="005560CA" w:rsidRPr="005560CA" w:rsidRDefault="005560CA" w:rsidP="00DB2409">
      <w:pPr>
        <w:spacing w:line="360" w:lineRule="auto"/>
        <w:jc w:val="both"/>
        <w:rPr>
          <w:rFonts w:cs="Arial"/>
          <w:color w:val="4F4E53"/>
          <w:shd w:val="clear" w:color="auto" w:fill="FFFFFF"/>
        </w:rPr>
      </w:pPr>
    </w:p>
    <w:p w14:paraId="0BD98773" w14:textId="10799E11" w:rsidR="00E22ECC" w:rsidRDefault="00943731" w:rsidP="00DB2409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7673B9">
        <w:rPr>
          <w:rFonts w:cs="Arial"/>
          <w:lang w:val="cs-CZ"/>
        </w:rPr>
        <w:t xml:space="preserve">Více na </w:t>
      </w:r>
      <w:hyperlink r:id="rId9" w:history="1">
        <w:r w:rsidR="001A4303" w:rsidRPr="007673B9">
          <w:rPr>
            <w:rStyle w:val="Hypertextovodkaz"/>
            <w:rFonts w:cs="Arial"/>
            <w:lang w:val="cs-CZ"/>
          </w:rPr>
          <w:t>www.electrolux.cz</w:t>
        </w:r>
      </w:hyperlink>
    </w:p>
    <w:p w14:paraId="24B1BAEF" w14:textId="11AA01F5" w:rsidR="00B05A52" w:rsidRDefault="00371F42" w:rsidP="00DB2409">
      <w:pPr>
        <w:spacing w:line="360" w:lineRule="auto"/>
        <w:jc w:val="both"/>
        <w:rPr>
          <w:rStyle w:val="Hypertextovodkaz"/>
          <w:rFonts w:cs="Arial"/>
          <w:lang w:val="cs-CZ"/>
        </w:rPr>
      </w:pPr>
      <w:hyperlink r:id="rId10" w:history="1">
        <w:r w:rsidR="00B05A52" w:rsidRPr="00AF50C7">
          <w:rPr>
            <w:rStyle w:val="Hypertextovodkaz"/>
            <w:rFonts w:cs="Arial"/>
            <w:lang w:val="cs-CZ"/>
          </w:rPr>
          <w:t>www.electrolux.cz/pecemevpare</w:t>
        </w:r>
      </w:hyperlink>
    </w:p>
    <w:p w14:paraId="1FE04B29" w14:textId="77777777" w:rsidR="00B05A52" w:rsidRPr="007673B9" w:rsidRDefault="00B05A52" w:rsidP="00DB2409">
      <w:pPr>
        <w:spacing w:line="360" w:lineRule="auto"/>
        <w:jc w:val="both"/>
        <w:rPr>
          <w:rStyle w:val="Hypertextovodkaz"/>
          <w:rFonts w:cs="Arial"/>
          <w:lang w:val="cs-CZ"/>
        </w:rPr>
      </w:pPr>
    </w:p>
    <w:p w14:paraId="04A46FC6" w14:textId="466B801E" w:rsidR="00E22ECC" w:rsidRDefault="00E22ECC" w:rsidP="00DB2409">
      <w:pPr>
        <w:spacing w:line="360" w:lineRule="auto"/>
        <w:jc w:val="both"/>
        <w:rPr>
          <w:lang w:val="cs-CZ"/>
        </w:rPr>
      </w:pPr>
    </w:p>
    <w:p w14:paraId="2382EE52" w14:textId="6865BA34" w:rsidR="005D00BD" w:rsidRPr="00D43BBE" w:rsidRDefault="007F330E" w:rsidP="00DB2409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Zanussi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Frigidaire</w:t>
      </w:r>
      <w:proofErr w:type="spellEnd"/>
      <w:r w:rsidR="00152F1D"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 w:rsidR="00152F1D">
        <w:rPr>
          <w:rFonts w:ascii="Electrolux Sans Regular" w:hAnsi="Electrolux Sans Regular"/>
          <w:sz w:val="18"/>
          <w:szCs w:val="18"/>
          <w:lang w:val="cs-CZ"/>
        </w:rPr>
        <w:t>Anova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Cuisine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1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3FB3" w14:textId="77777777" w:rsidR="001112A3" w:rsidRDefault="001112A3">
      <w:r>
        <w:separator/>
      </w:r>
    </w:p>
  </w:endnote>
  <w:endnote w:type="continuationSeparator" w:id="0">
    <w:p w14:paraId="1A2C9B60" w14:textId="77777777" w:rsidR="001112A3" w:rsidRDefault="001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">
    <w:altName w:val="Cambria"/>
    <w:panose1 w:val="00000000000000000000"/>
    <w:charset w:val="00"/>
    <w:family w:val="roman"/>
    <w:notTrueType/>
    <w:pitch w:val="default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371F42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371F4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D1F8" w14:textId="77777777" w:rsidR="001112A3" w:rsidRDefault="001112A3">
      <w:r>
        <w:separator/>
      </w:r>
    </w:p>
  </w:footnote>
  <w:footnote w:type="continuationSeparator" w:id="0">
    <w:p w14:paraId="6098D694" w14:textId="77777777" w:rsidR="001112A3" w:rsidRDefault="0011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371F42">
    <w:pPr>
      <w:pStyle w:val="Zhlav"/>
    </w:pPr>
  </w:p>
  <w:p w14:paraId="7940AEBB" w14:textId="77777777" w:rsidR="00EC251C" w:rsidRDefault="00371F42">
    <w:pPr>
      <w:pStyle w:val="Zhlav"/>
    </w:pPr>
  </w:p>
  <w:p w14:paraId="417C47E6" w14:textId="77777777" w:rsidR="00EC251C" w:rsidRDefault="00371F42">
    <w:pPr>
      <w:pStyle w:val="Zhlav"/>
    </w:pPr>
  </w:p>
  <w:p w14:paraId="57DF2815" w14:textId="77777777" w:rsidR="00EC251C" w:rsidRDefault="00371F42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371F42">
    <w:pPr>
      <w:pStyle w:val="Zhlav"/>
    </w:pPr>
  </w:p>
  <w:p w14:paraId="07C5D8E9" w14:textId="77777777" w:rsidR="00EC251C" w:rsidRDefault="00371F42">
    <w:pPr>
      <w:pStyle w:val="Zhlav"/>
    </w:pPr>
  </w:p>
  <w:p w14:paraId="4C1F29AD" w14:textId="77777777" w:rsidR="00EC251C" w:rsidRDefault="00371F42">
    <w:pPr>
      <w:pStyle w:val="Zhlav"/>
    </w:pPr>
  </w:p>
  <w:p w14:paraId="628EB32D" w14:textId="77777777" w:rsidR="00EC251C" w:rsidRDefault="00371F42">
    <w:pPr>
      <w:pStyle w:val="Zhlav"/>
    </w:pPr>
  </w:p>
  <w:p w14:paraId="177CC3AE" w14:textId="77777777" w:rsidR="00EC251C" w:rsidRDefault="00371F42">
    <w:pPr>
      <w:pStyle w:val="Zhlav"/>
    </w:pPr>
  </w:p>
  <w:p w14:paraId="286BA721" w14:textId="409098F3" w:rsidR="00EC251C" w:rsidRDefault="00371F42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371F4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371F42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371F4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371F4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371F4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371F4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371F4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371F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371F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371F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13AE1"/>
    <w:rsid w:val="0001495C"/>
    <w:rsid w:val="000245B3"/>
    <w:rsid w:val="00026BDA"/>
    <w:rsid w:val="000270B1"/>
    <w:rsid w:val="00035FBB"/>
    <w:rsid w:val="000422F0"/>
    <w:rsid w:val="00042F17"/>
    <w:rsid w:val="000450A0"/>
    <w:rsid w:val="00053374"/>
    <w:rsid w:val="000547D4"/>
    <w:rsid w:val="000720C8"/>
    <w:rsid w:val="00074AB3"/>
    <w:rsid w:val="000813F8"/>
    <w:rsid w:val="00081408"/>
    <w:rsid w:val="0009621A"/>
    <w:rsid w:val="000A0C69"/>
    <w:rsid w:val="000A6DE9"/>
    <w:rsid w:val="000A74FD"/>
    <w:rsid w:val="000B2F72"/>
    <w:rsid w:val="000B432E"/>
    <w:rsid w:val="000E0469"/>
    <w:rsid w:val="000F436C"/>
    <w:rsid w:val="000F4DD8"/>
    <w:rsid w:val="0010739B"/>
    <w:rsid w:val="001112A3"/>
    <w:rsid w:val="001178E1"/>
    <w:rsid w:val="00123DF9"/>
    <w:rsid w:val="001247AE"/>
    <w:rsid w:val="00127BF5"/>
    <w:rsid w:val="00132149"/>
    <w:rsid w:val="00133200"/>
    <w:rsid w:val="001378E4"/>
    <w:rsid w:val="001521C3"/>
    <w:rsid w:val="001529B6"/>
    <w:rsid w:val="00152F1D"/>
    <w:rsid w:val="00195685"/>
    <w:rsid w:val="001A17EE"/>
    <w:rsid w:val="001A4303"/>
    <w:rsid w:val="001A5261"/>
    <w:rsid w:val="001A548E"/>
    <w:rsid w:val="001A7DAC"/>
    <w:rsid w:val="001B32A4"/>
    <w:rsid w:val="001B5C3E"/>
    <w:rsid w:val="001B6CF3"/>
    <w:rsid w:val="001D5AB1"/>
    <w:rsid w:val="001E38BF"/>
    <w:rsid w:val="002029BA"/>
    <w:rsid w:val="0021110F"/>
    <w:rsid w:val="002409C0"/>
    <w:rsid w:val="00242FBA"/>
    <w:rsid w:val="002457A6"/>
    <w:rsid w:val="00250B3D"/>
    <w:rsid w:val="00275ACC"/>
    <w:rsid w:val="00277635"/>
    <w:rsid w:val="00292358"/>
    <w:rsid w:val="002941B6"/>
    <w:rsid w:val="002B2D2A"/>
    <w:rsid w:val="002B64DF"/>
    <w:rsid w:val="002C211D"/>
    <w:rsid w:val="002C3CCB"/>
    <w:rsid w:val="002C75FA"/>
    <w:rsid w:val="002C78EE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6068"/>
    <w:rsid w:val="00336E69"/>
    <w:rsid w:val="00340C7C"/>
    <w:rsid w:val="00351502"/>
    <w:rsid w:val="00372476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D1D69"/>
    <w:rsid w:val="003D1E5F"/>
    <w:rsid w:val="003E097C"/>
    <w:rsid w:val="003E4473"/>
    <w:rsid w:val="003E6D26"/>
    <w:rsid w:val="003F2648"/>
    <w:rsid w:val="004127D1"/>
    <w:rsid w:val="00415C23"/>
    <w:rsid w:val="00441A4D"/>
    <w:rsid w:val="00450606"/>
    <w:rsid w:val="004517C0"/>
    <w:rsid w:val="00451801"/>
    <w:rsid w:val="004712E4"/>
    <w:rsid w:val="004760A8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E05CA"/>
    <w:rsid w:val="004E6C5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6A9D"/>
    <w:rsid w:val="00577A3A"/>
    <w:rsid w:val="00581947"/>
    <w:rsid w:val="0058483A"/>
    <w:rsid w:val="00593B6C"/>
    <w:rsid w:val="005B394A"/>
    <w:rsid w:val="005D00BD"/>
    <w:rsid w:val="005D14D0"/>
    <w:rsid w:val="005E0D4D"/>
    <w:rsid w:val="005F1B04"/>
    <w:rsid w:val="00611C41"/>
    <w:rsid w:val="00615C65"/>
    <w:rsid w:val="00616FA4"/>
    <w:rsid w:val="00627315"/>
    <w:rsid w:val="00634C71"/>
    <w:rsid w:val="00643602"/>
    <w:rsid w:val="00661711"/>
    <w:rsid w:val="006841F1"/>
    <w:rsid w:val="00687530"/>
    <w:rsid w:val="0069231D"/>
    <w:rsid w:val="00695ADA"/>
    <w:rsid w:val="006A4537"/>
    <w:rsid w:val="006A4C3A"/>
    <w:rsid w:val="006B324E"/>
    <w:rsid w:val="006D0953"/>
    <w:rsid w:val="006D19B0"/>
    <w:rsid w:val="006D487A"/>
    <w:rsid w:val="006D7BB8"/>
    <w:rsid w:val="006E290D"/>
    <w:rsid w:val="006F7B0A"/>
    <w:rsid w:val="00700EA9"/>
    <w:rsid w:val="00704519"/>
    <w:rsid w:val="00731882"/>
    <w:rsid w:val="00745D0B"/>
    <w:rsid w:val="00747D39"/>
    <w:rsid w:val="00751002"/>
    <w:rsid w:val="00751CAC"/>
    <w:rsid w:val="00752CF4"/>
    <w:rsid w:val="00753401"/>
    <w:rsid w:val="00762F77"/>
    <w:rsid w:val="0076648F"/>
    <w:rsid w:val="007673B9"/>
    <w:rsid w:val="00770F1F"/>
    <w:rsid w:val="00786FF9"/>
    <w:rsid w:val="007A63CE"/>
    <w:rsid w:val="007B5D2F"/>
    <w:rsid w:val="007B7E2F"/>
    <w:rsid w:val="007D3E37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5734C"/>
    <w:rsid w:val="0086363B"/>
    <w:rsid w:val="00864546"/>
    <w:rsid w:val="008651C2"/>
    <w:rsid w:val="0087258E"/>
    <w:rsid w:val="00886FB1"/>
    <w:rsid w:val="008919ED"/>
    <w:rsid w:val="008A31E3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34D"/>
    <w:rsid w:val="00943731"/>
    <w:rsid w:val="00956A3B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A03159"/>
    <w:rsid w:val="00A04814"/>
    <w:rsid w:val="00A060F0"/>
    <w:rsid w:val="00A148A0"/>
    <w:rsid w:val="00A212BC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320BE"/>
    <w:rsid w:val="00B60CD4"/>
    <w:rsid w:val="00B613BE"/>
    <w:rsid w:val="00B6446B"/>
    <w:rsid w:val="00B738F9"/>
    <w:rsid w:val="00B77600"/>
    <w:rsid w:val="00B77D24"/>
    <w:rsid w:val="00B80BFB"/>
    <w:rsid w:val="00BC2AF4"/>
    <w:rsid w:val="00BD1125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27B16"/>
    <w:rsid w:val="00D27FA7"/>
    <w:rsid w:val="00D320DD"/>
    <w:rsid w:val="00D336FD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EB3D7D"/>
    <w:rsid w:val="00EB6263"/>
    <w:rsid w:val="00EC5C63"/>
    <w:rsid w:val="00EE2CBF"/>
    <w:rsid w:val="00EE5C26"/>
    <w:rsid w:val="00F04668"/>
    <w:rsid w:val="00F21E7A"/>
    <w:rsid w:val="00F22968"/>
    <w:rsid w:val="00F30E55"/>
    <w:rsid w:val="00F35AAC"/>
    <w:rsid w:val="00F454CD"/>
    <w:rsid w:val="00F4716D"/>
    <w:rsid w:val="00F5169D"/>
    <w:rsid w:val="00F53092"/>
    <w:rsid w:val="00F70414"/>
    <w:rsid w:val="00F7295F"/>
    <w:rsid w:val="00F836A0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olux.cz/pecemevp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F929-8074-4918-BB13-F31E21BF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320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64</cp:revision>
  <cp:lastPrinted>2016-04-28T13:14:00Z</cp:lastPrinted>
  <dcterms:created xsi:type="dcterms:W3CDTF">2017-11-01T12:17:00Z</dcterms:created>
  <dcterms:modified xsi:type="dcterms:W3CDTF">2017-12-12T13:00:00Z</dcterms:modified>
</cp:coreProperties>
</file>