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DD6876" w14:textId="7C64E2F4" w:rsidR="00364BA7" w:rsidRPr="00585554" w:rsidRDefault="005839B8" w:rsidP="00B4756F">
      <w:pPr>
        <w:pStyle w:val="Nadpis1"/>
        <w:rPr>
          <w:rFonts w:ascii="Arial" w:hAnsi="Arial" w:cs="Arial"/>
          <w:sz w:val="32"/>
          <w:szCs w:val="32"/>
        </w:rPr>
      </w:pPr>
      <w:r w:rsidRPr="00585554">
        <w:rPr>
          <w:rFonts w:ascii="Arial" w:hAnsi="Arial" w:cs="Arial"/>
          <w:sz w:val="32"/>
          <w:szCs w:val="32"/>
        </w:rPr>
        <w:t>Jaké jsou hlavní chyby při montáži oken a dveří?</w:t>
      </w:r>
    </w:p>
    <w:p w14:paraId="4AE01A2D" w14:textId="48352490" w:rsidR="005839B8" w:rsidRPr="001E0577" w:rsidRDefault="005839B8">
      <w:pPr>
        <w:rPr>
          <w:rFonts w:ascii="Arial" w:hAnsi="Arial" w:cs="Arial"/>
          <w:b/>
          <w:bCs/>
          <w:sz w:val="20"/>
          <w:szCs w:val="20"/>
        </w:rPr>
      </w:pPr>
      <w:r w:rsidRPr="001E0577">
        <w:rPr>
          <w:rFonts w:ascii="Arial" w:hAnsi="Arial" w:cs="Arial"/>
          <w:b/>
          <w:bCs/>
          <w:sz w:val="20"/>
          <w:szCs w:val="20"/>
        </w:rPr>
        <w:t>Ne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>dostatky</w:t>
      </w:r>
      <w:r w:rsidRPr="001E0577">
        <w:rPr>
          <w:rFonts w:ascii="Arial" w:hAnsi="Arial" w:cs="Arial"/>
          <w:b/>
          <w:bCs/>
          <w:sz w:val="20"/>
          <w:szCs w:val="20"/>
        </w:rPr>
        <w:t xml:space="preserve"> při montáži oken či dveří 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>pramení nejčastěji z absence projektové dokumentace (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>špatné řešení připojovací spáry a detail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 xml:space="preserve">ů, jako jsou 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>parapety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 xml:space="preserve"> či 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 xml:space="preserve">prahy), 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>nebo z nezvládnuté montáže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 xml:space="preserve"> (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 xml:space="preserve">např. 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>nevhodně připraven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>é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 xml:space="preserve"> ostění).</w:t>
      </w:r>
      <w:r w:rsidR="00D212E0" w:rsidRPr="001E0577">
        <w:rPr>
          <w:rFonts w:ascii="Arial" w:hAnsi="Arial" w:cs="Arial"/>
          <w:b/>
          <w:bCs/>
          <w:sz w:val="20"/>
          <w:szCs w:val="20"/>
        </w:rPr>
        <w:t xml:space="preserve"> </w:t>
      </w:r>
      <w:r w:rsidR="00C7594A" w:rsidRPr="001E0577">
        <w:rPr>
          <w:rFonts w:ascii="Arial" w:hAnsi="Arial" w:cs="Arial"/>
          <w:b/>
          <w:bCs/>
          <w:sz w:val="20"/>
          <w:szCs w:val="20"/>
        </w:rPr>
        <w:t xml:space="preserve">Mnohdy jde rovnou o kombinaci </w:t>
      </w:r>
      <w:r w:rsidR="001E0577" w:rsidRPr="001E0577">
        <w:rPr>
          <w:rFonts w:ascii="Arial" w:hAnsi="Arial" w:cs="Arial"/>
          <w:b/>
          <w:bCs/>
          <w:sz w:val="20"/>
          <w:szCs w:val="20"/>
        </w:rPr>
        <w:t>obou</w:t>
      </w:r>
      <w:r w:rsidR="00C7594A" w:rsidRPr="001E0577">
        <w:rPr>
          <w:rFonts w:ascii="Arial" w:hAnsi="Arial" w:cs="Arial"/>
          <w:b/>
          <w:bCs/>
          <w:sz w:val="20"/>
          <w:szCs w:val="20"/>
        </w:rPr>
        <w:t xml:space="preserve"> problémů</w:t>
      </w:r>
      <w:r w:rsidR="005D7558" w:rsidRPr="001E0577">
        <w:rPr>
          <w:rFonts w:ascii="Arial" w:hAnsi="Arial" w:cs="Arial"/>
          <w:b/>
          <w:bCs/>
          <w:sz w:val="20"/>
          <w:szCs w:val="20"/>
        </w:rPr>
        <w:t>.</w:t>
      </w:r>
    </w:p>
    <w:p w14:paraId="6D9ADDFB" w14:textId="061DB09A" w:rsidR="005839B8" w:rsidRPr="001E0577" w:rsidRDefault="005839B8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 xml:space="preserve">Navzdory tomu, že existují normy (zejména </w:t>
      </w:r>
      <w:r w:rsidR="00A86F71" w:rsidRPr="001E0577">
        <w:rPr>
          <w:rFonts w:ascii="Arial" w:hAnsi="Arial" w:cs="Arial"/>
          <w:sz w:val="20"/>
          <w:szCs w:val="20"/>
        </w:rPr>
        <w:t>„</w:t>
      </w:r>
      <w:r w:rsidRPr="001E0577">
        <w:rPr>
          <w:rFonts w:ascii="Arial" w:hAnsi="Arial" w:cs="Arial"/>
          <w:sz w:val="20"/>
          <w:szCs w:val="20"/>
        </w:rPr>
        <w:t>ČSN 74 6077 Okna a vnější dveře – Požadavky na zabudování</w:t>
      </w:r>
      <w:r w:rsidR="00A86F71" w:rsidRPr="001E0577">
        <w:rPr>
          <w:rFonts w:ascii="Arial" w:hAnsi="Arial" w:cs="Arial"/>
          <w:sz w:val="20"/>
          <w:szCs w:val="20"/>
        </w:rPr>
        <w:t>“</w:t>
      </w:r>
      <w:r w:rsidRPr="001E0577">
        <w:rPr>
          <w:rFonts w:ascii="Arial" w:hAnsi="Arial" w:cs="Arial"/>
          <w:sz w:val="20"/>
          <w:szCs w:val="20"/>
        </w:rPr>
        <w:t>, ale i směrnice vydané Českou komorou lehkých obvodových plášťů), kter</w:t>
      </w:r>
      <w:r w:rsidR="00A86F71" w:rsidRPr="001E0577">
        <w:rPr>
          <w:rFonts w:ascii="Arial" w:hAnsi="Arial" w:cs="Arial"/>
          <w:sz w:val="20"/>
          <w:szCs w:val="20"/>
        </w:rPr>
        <w:t>é</w:t>
      </w:r>
      <w:r w:rsidRPr="001E0577">
        <w:rPr>
          <w:rFonts w:ascii="Arial" w:hAnsi="Arial" w:cs="Arial"/>
          <w:sz w:val="20"/>
          <w:szCs w:val="20"/>
        </w:rPr>
        <w:t xml:space="preserve"> různé případy montáže oken popisuj</w:t>
      </w:r>
      <w:r w:rsidR="00A86F71" w:rsidRPr="001E0577">
        <w:rPr>
          <w:rFonts w:ascii="Arial" w:hAnsi="Arial" w:cs="Arial"/>
          <w:sz w:val="20"/>
          <w:szCs w:val="20"/>
        </w:rPr>
        <w:t>í</w:t>
      </w:r>
      <w:r w:rsidRPr="001E0577">
        <w:rPr>
          <w:rFonts w:ascii="Arial" w:hAnsi="Arial" w:cs="Arial"/>
          <w:sz w:val="20"/>
          <w:szCs w:val="20"/>
        </w:rPr>
        <w:t xml:space="preserve"> a stanovuj</w:t>
      </w:r>
      <w:r w:rsidR="00A86F71" w:rsidRPr="001E0577">
        <w:rPr>
          <w:rFonts w:ascii="Arial" w:hAnsi="Arial" w:cs="Arial"/>
          <w:sz w:val="20"/>
          <w:szCs w:val="20"/>
        </w:rPr>
        <w:t>í</w:t>
      </w:r>
      <w:r w:rsidRPr="001E0577">
        <w:rPr>
          <w:rFonts w:ascii="Arial" w:hAnsi="Arial" w:cs="Arial"/>
          <w:sz w:val="20"/>
          <w:szCs w:val="20"/>
        </w:rPr>
        <w:t xml:space="preserve"> pro ně jasná pravidla, stále se s chybami při jejich instalaci setkáváme. Dokládají to i fotografie Richarda Váchy, technika ze společnosti Deceuninck, kter</w:t>
      </w:r>
      <w:r w:rsidR="007B1D47" w:rsidRPr="001E0577">
        <w:rPr>
          <w:rFonts w:ascii="Arial" w:hAnsi="Arial" w:cs="Arial"/>
          <w:sz w:val="20"/>
          <w:szCs w:val="20"/>
        </w:rPr>
        <w:t xml:space="preserve">á vyrábí a dodává profily z PVC a kompozitu desítkám </w:t>
      </w:r>
      <w:r w:rsidR="006A450B" w:rsidRPr="001E0577">
        <w:rPr>
          <w:rFonts w:ascii="Arial" w:hAnsi="Arial" w:cs="Arial"/>
          <w:sz w:val="20"/>
          <w:szCs w:val="20"/>
        </w:rPr>
        <w:t xml:space="preserve">výrobců oken a dveří </w:t>
      </w:r>
      <w:r w:rsidR="007B1D47" w:rsidRPr="001E0577">
        <w:rPr>
          <w:rFonts w:ascii="Arial" w:hAnsi="Arial" w:cs="Arial"/>
          <w:sz w:val="20"/>
          <w:szCs w:val="20"/>
        </w:rPr>
        <w:t>v ČR</w:t>
      </w:r>
      <w:r w:rsidRPr="001E0577">
        <w:rPr>
          <w:rFonts w:ascii="Arial" w:hAnsi="Arial" w:cs="Arial"/>
          <w:sz w:val="20"/>
          <w:szCs w:val="20"/>
        </w:rPr>
        <w:t>.</w:t>
      </w:r>
      <w:r w:rsidR="00A86F71" w:rsidRPr="001E0577">
        <w:rPr>
          <w:rFonts w:ascii="Arial" w:hAnsi="Arial" w:cs="Arial"/>
          <w:sz w:val="20"/>
          <w:szCs w:val="20"/>
        </w:rPr>
        <w:t xml:space="preserve"> Správně provedená montáž je přitom stejně důležitá jako </w:t>
      </w:r>
      <w:r w:rsidR="006A450B" w:rsidRPr="001E0577">
        <w:rPr>
          <w:rFonts w:ascii="Arial" w:hAnsi="Arial" w:cs="Arial"/>
          <w:sz w:val="20"/>
          <w:szCs w:val="20"/>
        </w:rPr>
        <w:t>kvalita produktu</w:t>
      </w:r>
      <w:r w:rsidR="007B1D47" w:rsidRPr="001E0577">
        <w:rPr>
          <w:rFonts w:ascii="Arial" w:hAnsi="Arial" w:cs="Arial"/>
          <w:sz w:val="20"/>
          <w:szCs w:val="20"/>
        </w:rPr>
        <w:t>.</w:t>
      </w:r>
    </w:p>
    <w:p w14:paraId="48556B53" w14:textId="77777777" w:rsidR="007B1D47" w:rsidRPr="001E0577" w:rsidRDefault="007B1D47">
      <w:pPr>
        <w:rPr>
          <w:rFonts w:ascii="Arial" w:hAnsi="Arial" w:cs="Arial"/>
          <w:sz w:val="20"/>
          <w:szCs w:val="20"/>
        </w:rPr>
      </w:pPr>
    </w:p>
    <w:p w14:paraId="659C0E0A" w14:textId="6D8DDC97" w:rsidR="005839B8" w:rsidRPr="00585554" w:rsidRDefault="005839B8" w:rsidP="00585554">
      <w:pPr>
        <w:pStyle w:val="Nadpis2"/>
        <w:rPr>
          <w:rFonts w:ascii="Arial" w:hAnsi="Arial" w:cs="Arial"/>
          <w:sz w:val="28"/>
          <w:szCs w:val="28"/>
        </w:rPr>
      </w:pPr>
      <w:r w:rsidRPr="00585554">
        <w:rPr>
          <w:rFonts w:ascii="Arial" w:hAnsi="Arial" w:cs="Arial"/>
          <w:sz w:val="28"/>
          <w:szCs w:val="28"/>
        </w:rPr>
        <w:t>Nevhodně připravený</w:t>
      </w:r>
      <w:r w:rsidR="006A450B" w:rsidRPr="00585554">
        <w:rPr>
          <w:rFonts w:ascii="Arial" w:hAnsi="Arial" w:cs="Arial"/>
          <w:sz w:val="28"/>
          <w:szCs w:val="28"/>
        </w:rPr>
        <w:t xml:space="preserve"> stavební otvor</w:t>
      </w:r>
    </w:p>
    <w:p w14:paraId="1C7D47CB" w14:textId="222C2575" w:rsidR="005839B8" w:rsidRPr="001E0577" w:rsidRDefault="00A86F71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3DEC22" wp14:editId="264AB155">
            <wp:extent cx="2179320" cy="2906480"/>
            <wp:effectExtent l="0" t="0" r="0" b="8255"/>
            <wp:docPr id="177461782" name="Obrázek 1" descr="Obsah obrázku osoba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1782" name="Obrázek 1" descr="Obsah obrázku osoba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25" cy="29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1EF0" w14:textId="238FDD95" w:rsidR="00A86F71" w:rsidRPr="001E0577" w:rsidRDefault="00C05160">
      <w:pPr>
        <w:rPr>
          <w:rFonts w:ascii="Arial" w:hAnsi="Arial" w:cs="Arial"/>
          <w:i/>
          <w:iCs/>
          <w:sz w:val="20"/>
          <w:szCs w:val="20"/>
        </w:rPr>
      </w:pPr>
      <w:r w:rsidRPr="001E0577">
        <w:rPr>
          <w:rFonts w:ascii="Arial" w:hAnsi="Arial" w:cs="Arial"/>
          <w:i/>
          <w:iCs/>
          <w:sz w:val="20"/>
          <w:szCs w:val="20"/>
        </w:rPr>
        <w:t>„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>O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>kenní šroub pásové kotvy v parapetní části okna je jen ‚nastrčený‘ do dutiny cihly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, 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neplní tedy </w:t>
      </w:r>
      <w:proofErr w:type="gramStart"/>
      <w:r w:rsidR="00A86F71" w:rsidRPr="001E0577">
        <w:rPr>
          <w:rFonts w:ascii="Arial" w:hAnsi="Arial" w:cs="Arial"/>
          <w:i/>
          <w:iCs/>
          <w:sz w:val="20"/>
          <w:szCs w:val="20"/>
        </w:rPr>
        <w:t>svoji</w:t>
      </w:r>
      <w:proofErr w:type="gramEnd"/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 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 xml:space="preserve">kotvicí 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funkci. Stejně </w:t>
      </w:r>
      <w:r w:rsidRPr="001E0577">
        <w:rPr>
          <w:rFonts w:ascii="Arial" w:hAnsi="Arial" w:cs="Arial"/>
          <w:i/>
          <w:iCs/>
          <w:sz w:val="20"/>
          <w:szCs w:val="20"/>
        </w:rPr>
        <w:t>tak svoji funkci neplní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 parotěsná páska. Vzduch i vlhkost mohou normálně proudit přes dutiny. 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 xml:space="preserve">Může 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>docházet k promrzání, srážení vody a mohou se rozvinout i plísně</w:t>
      </w:r>
      <w:r w:rsidRPr="001E0577">
        <w:rPr>
          <w:rFonts w:ascii="Arial" w:hAnsi="Arial" w:cs="Arial"/>
          <w:i/>
          <w:iCs/>
          <w:sz w:val="20"/>
          <w:szCs w:val="20"/>
        </w:rPr>
        <w:t>,“</w:t>
      </w:r>
      <w:r w:rsidRPr="001E0577">
        <w:rPr>
          <w:rFonts w:ascii="Arial" w:hAnsi="Arial" w:cs="Arial"/>
          <w:sz w:val="20"/>
          <w:szCs w:val="20"/>
        </w:rPr>
        <w:t xml:space="preserve"> upozorňuje Richard Vácha</w:t>
      </w:r>
      <w:r w:rsidR="007B1D47" w:rsidRPr="001E0577">
        <w:rPr>
          <w:rFonts w:ascii="Arial" w:hAnsi="Arial" w:cs="Arial"/>
          <w:sz w:val="20"/>
          <w:szCs w:val="20"/>
        </w:rPr>
        <w:t xml:space="preserve"> z</w:t>
      </w:r>
      <w:r w:rsidR="005B42E4" w:rsidRPr="001E0577">
        <w:rPr>
          <w:rFonts w:ascii="Arial" w:hAnsi="Arial" w:cs="Arial"/>
          <w:sz w:val="20"/>
          <w:szCs w:val="20"/>
        </w:rPr>
        <w:t> </w:t>
      </w:r>
      <w:r w:rsidR="007B1D47" w:rsidRPr="001E0577">
        <w:rPr>
          <w:rFonts w:ascii="Arial" w:hAnsi="Arial" w:cs="Arial"/>
          <w:sz w:val="20"/>
          <w:szCs w:val="20"/>
        </w:rPr>
        <w:t>Deceuninck</w:t>
      </w:r>
      <w:r w:rsidR="005B42E4" w:rsidRPr="001E0577">
        <w:rPr>
          <w:rFonts w:ascii="Arial" w:hAnsi="Arial" w:cs="Arial"/>
          <w:sz w:val="20"/>
          <w:szCs w:val="20"/>
        </w:rPr>
        <w:t xml:space="preserve"> a dodává: </w:t>
      </w:r>
      <w:r w:rsidRPr="001E0577">
        <w:rPr>
          <w:rFonts w:ascii="Arial" w:hAnsi="Arial" w:cs="Arial"/>
          <w:i/>
          <w:iCs/>
          <w:sz w:val="20"/>
          <w:szCs w:val="20"/>
        </w:rPr>
        <w:t>„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>Ideálně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 by měly být použity systémové cihly, které umožňují jak správné ukotvení okna, tak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 xml:space="preserve"> aplikaci uzávěrů 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připojovací spáry. </w:t>
      </w:r>
      <w:r w:rsidR="00130AD8" w:rsidRPr="001E0577">
        <w:rPr>
          <w:rFonts w:ascii="Arial" w:hAnsi="Arial" w:cs="Arial"/>
          <w:i/>
          <w:iCs/>
          <w:sz w:val="20"/>
          <w:szCs w:val="20"/>
        </w:rPr>
        <w:t>P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ro 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 xml:space="preserve">aplikaci uzávěrů 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musí 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 xml:space="preserve">mít </w:t>
      </w:r>
      <w:r w:rsidR="00130AD8" w:rsidRPr="001E0577">
        <w:rPr>
          <w:rFonts w:ascii="Arial" w:hAnsi="Arial" w:cs="Arial"/>
          <w:i/>
          <w:iCs/>
          <w:sz w:val="20"/>
          <w:szCs w:val="20"/>
        </w:rPr>
        <w:t xml:space="preserve">ostění </w:t>
      </w:r>
      <w:r w:rsidR="00B4756F" w:rsidRPr="001E0577">
        <w:rPr>
          <w:rFonts w:ascii="Arial" w:hAnsi="Arial" w:cs="Arial"/>
          <w:i/>
          <w:iCs/>
          <w:sz w:val="20"/>
          <w:szCs w:val="20"/>
        </w:rPr>
        <w:t xml:space="preserve">souvislý (ne s dutinami), 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>čistý, suchý a napenetrovaný</w:t>
      </w:r>
      <w:r w:rsidR="00B4756F" w:rsidRPr="001E0577">
        <w:rPr>
          <w:rFonts w:ascii="Arial" w:hAnsi="Arial" w:cs="Arial"/>
          <w:i/>
          <w:iCs/>
          <w:sz w:val="20"/>
          <w:szCs w:val="20"/>
        </w:rPr>
        <w:t xml:space="preserve"> 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 xml:space="preserve">povrch </w:t>
      </w:r>
      <w:r w:rsidR="00B4756F" w:rsidRPr="001E0577">
        <w:rPr>
          <w:rFonts w:ascii="Arial" w:hAnsi="Arial" w:cs="Arial"/>
          <w:i/>
          <w:iCs/>
          <w:sz w:val="20"/>
          <w:szCs w:val="20"/>
        </w:rPr>
        <w:t>tak,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 xml:space="preserve"> aby 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 xml:space="preserve">uzávěry (např. pásky) </w:t>
      </w:r>
      <w:r w:rsidR="00A86F71" w:rsidRPr="001E0577">
        <w:rPr>
          <w:rFonts w:ascii="Arial" w:hAnsi="Arial" w:cs="Arial"/>
          <w:i/>
          <w:iCs/>
          <w:sz w:val="20"/>
          <w:szCs w:val="20"/>
        </w:rPr>
        <w:t>k povrchu dobře přilnul</w:t>
      </w:r>
      <w:r w:rsidR="006A450B" w:rsidRPr="001E0577">
        <w:rPr>
          <w:rFonts w:ascii="Arial" w:hAnsi="Arial" w:cs="Arial"/>
          <w:i/>
          <w:iCs/>
          <w:sz w:val="20"/>
          <w:szCs w:val="20"/>
        </w:rPr>
        <w:t>y</w:t>
      </w:r>
      <w:r w:rsidR="00B4756F" w:rsidRPr="001E0577">
        <w:rPr>
          <w:rFonts w:ascii="Arial" w:hAnsi="Arial" w:cs="Arial"/>
          <w:i/>
          <w:iCs/>
          <w:sz w:val="20"/>
          <w:szCs w:val="20"/>
        </w:rPr>
        <w:t>.</w:t>
      </w:r>
      <w:r w:rsidRPr="001E0577">
        <w:rPr>
          <w:rFonts w:ascii="Arial" w:hAnsi="Arial" w:cs="Arial"/>
          <w:i/>
          <w:iCs/>
          <w:sz w:val="20"/>
          <w:szCs w:val="20"/>
        </w:rPr>
        <w:t>“</w:t>
      </w:r>
    </w:p>
    <w:p w14:paraId="0CEB872E" w14:textId="77777777" w:rsidR="005D7558" w:rsidRPr="001E0577" w:rsidRDefault="005D7558">
      <w:pPr>
        <w:rPr>
          <w:rFonts w:ascii="Arial" w:hAnsi="Arial" w:cs="Arial"/>
          <w:i/>
          <w:iCs/>
          <w:sz w:val="20"/>
          <w:szCs w:val="20"/>
        </w:rPr>
      </w:pPr>
    </w:p>
    <w:p w14:paraId="460AF24C" w14:textId="77777777" w:rsidR="00A86F71" w:rsidRPr="001E0577" w:rsidRDefault="00A86F71">
      <w:pPr>
        <w:rPr>
          <w:rFonts w:ascii="Arial" w:hAnsi="Arial" w:cs="Arial"/>
          <w:sz w:val="20"/>
          <w:szCs w:val="20"/>
        </w:rPr>
      </w:pPr>
    </w:p>
    <w:p w14:paraId="7FCDA7A4" w14:textId="77777777" w:rsidR="00B4756F" w:rsidRPr="001E0577" w:rsidRDefault="00B4756F">
      <w:pPr>
        <w:rPr>
          <w:rFonts w:ascii="Arial" w:hAnsi="Arial" w:cs="Arial"/>
          <w:sz w:val="20"/>
          <w:szCs w:val="20"/>
        </w:rPr>
      </w:pPr>
    </w:p>
    <w:p w14:paraId="50387E0E" w14:textId="3B6F9279" w:rsidR="00B4756F" w:rsidRPr="001E0577" w:rsidRDefault="00B4756F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2B231BA" wp14:editId="6C4821EF">
            <wp:extent cx="2154021" cy="2872740"/>
            <wp:effectExtent l="0" t="0" r="0" b="3810"/>
            <wp:docPr id="829271261" name="Obrázek 2" descr="Obsah obrázku venku, rostlina, budova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71261" name="Obrázek 2" descr="Obsah obrázku venku, rostlina, budova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60" cy="28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A377E" w14:textId="2CCF9441" w:rsidR="00B4756F" w:rsidRPr="001E0577" w:rsidRDefault="007B1D47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i/>
          <w:iCs/>
          <w:sz w:val="20"/>
          <w:szCs w:val="20"/>
        </w:rPr>
        <w:t>„</w:t>
      </w:r>
      <w:r w:rsidR="00B4756F" w:rsidRPr="001E0577">
        <w:rPr>
          <w:rFonts w:ascii="Arial" w:hAnsi="Arial" w:cs="Arial"/>
          <w:i/>
          <w:iCs/>
          <w:sz w:val="20"/>
          <w:szCs w:val="20"/>
        </w:rPr>
        <w:t xml:space="preserve">Prvek byl v obou rozích posazen na dřevěných hranolech doplněných o barevné plastové podložky. Ve zbývající části </w:t>
      </w:r>
      <w:r w:rsidR="003B64EB" w:rsidRPr="001E0577">
        <w:rPr>
          <w:rFonts w:ascii="Arial" w:hAnsi="Arial" w:cs="Arial"/>
          <w:i/>
          <w:iCs/>
          <w:sz w:val="20"/>
          <w:szCs w:val="20"/>
        </w:rPr>
        <w:t>byl</w:t>
      </w:r>
      <w:r w:rsidR="00B4756F" w:rsidRPr="001E0577">
        <w:rPr>
          <w:rFonts w:ascii="Arial" w:hAnsi="Arial" w:cs="Arial"/>
          <w:i/>
          <w:iCs/>
          <w:sz w:val="20"/>
          <w:szCs w:val="20"/>
        </w:rPr>
        <w:t xml:space="preserve"> pouze vložen polystyren. Díky tomu může u okna docházet k průhybům, </w:t>
      </w:r>
      <w:r w:rsidR="005B42E4" w:rsidRPr="001E0577">
        <w:rPr>
          <w:rFonts w:ascii="Arial" w:hAnsi="Arial" w:cs="Arial"/>
          <w:i/>
          <w:iCs/>
          <w:sz w:val="20"/>
          <w:szCs w:val="20"/>
        </w:rPr>
        <w:t xml:space="preserve">trvalé </w:t>
      </w:r>
      <w:r w:rsidR="00B4756F" w:rsidRPr="001E0577">
        <w:rPr>
          <w:rFonts w:ascii="Arial" w:hAnsi="Arial" w:cs="Arial"/>
          <w:i/>
          <w:iCs/>
          <w:sz w:val="20"/>
          <w:szCs w:val="20"/>
        </w:rPr>
        <w:t>deformaci nebo dokonce úplnému utržení od ostění</w:t>
      </w:r>
      <w:r w:rsidR="0015726B" w:rsidRPr="001E0577">
        <w:rPr>
          <w:rFonts w:ascii="Arial" w:hAnsi="Arial" w:cs="Arial"/>
          <w:i/>
          <w:iCs/>
          <w:sz w:val="20"/>
          <w:szCs w:val="20"/>
        </w:rPr>
        <w:t>, a také pronikání vlhkosti do interiéru</w:t>
      </w:r>
      <w:r w:rsidR="003B64EB" w:rsidRPr="001E0577">
        <w:rPr>
          <w:rFonts w:ascii="Arial" w:hAnsi="Arial" w:cs="Arial"/>
          <w:i/>
          <w:iCs/>
          <w:sz w:val="20"/>
          <w:szCs w:val="20"/>
        </w:rPr>
        <w:t>,“</w:t>
      </w:r>
      <w:r w:rsidR="003B64EB" w:rsidRPr="001E0577">
        <w:rPr>
          <w:rFonts w:ascii="Arial" w:hAnsi="Arial" w:cs="Arial"/>
          <w:sz w:val="20"/>
          <w:szCs w:val="20"/>
        </w:rPr>
        <w:t xml:space="preserve"> komentuje vadný způsob montáže, který už se odborníkům snad podařilo vymýtit, Richard Vácha ze společnosti Deceuninck.</w:t>
      </w:r>
    </w:p>
    <w:p w14:paraId="7401960A" w14:textId="77777777" w:rsidR="000712A4" w:rsidRPr="001E0577" w:rsidRDefault="000712A4">
      <w:pPr>
        <w:rPr>
          <w:rFonts w:ascii="Arial" w:hAnsi="Arial" w:cs="Arial"/>
          <w:sz w:val="20"/>
          <w:szCs w:val="20"/>
        </w:rPr>
      </w:pPr>
    </w:p>
    <w:p w14:paraId="0C93A547" w14:textId="77777777" w:rsidR="000712A4" w:rsidRPr="001E0577" w:rsidRDefault="000712A4" w:rsidP="000712A4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677A2D" wp14:editId="06742427">
            <wp:extent cx="3032760" cy="2274570"/>
            <wp:effectExtent l="0" t="0" r="0" b="0"/>
            <wp:docPr id="1465863451" name="Obrázek 8" descr="Obsah obrázku území, svíčka, venku, pokaž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63451" name="Obrázek 8" descr="Obsah obrázku území, svíčka, venku, pokaž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42CD" w14:textId="7342F5C9" w:rsidR="000712A4" w:rsidRPr="001E0577" w:rsidRDefault="000712A4" w:rsidP="000712A4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i/>
          <w:iCs/>
          <w:sz w:val="20"/>
          <w:szCs w:val="20"/>
        </w:rPr>
        <w:t xml:space="preserve">„V minulosti jsem se setkával s tím, že se </w:t>
      </w:r>
      <w:r w:rsidR="008C2C96" w:rsidRPr="001E0577">
        <w:rPr>
          <w:rFonts w:ascii="Arial" w:hAnsi="Arial" w:cs="Arial"/>
          <w:i/>
          <w:iCs/>
          <w:sz w:val="20"/>
          <w:szCs w:val="20"/>
        </w:rPr>
        <w:t>podobně – na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 podkladové </w:t>
      </w:r>
      <w:r w:rsidR="008C2C96" w:rsidRPr="001E0577">
        <w:rPr>
          <w:rFonts w:ascii="Arial" w:hAnsi="Arial" w:cs="Arial"/>
          <w:i/>
          <w:iCs/>
          <w:sz w:val="20"/>
          <w:szCs w:val="20"/>
        </w:rPr>
        <w:t>podložky – usazovaly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 často i vchodové dveře. Prostor mezi nimi (pod prahem) nebyl vlastně ničím vyplněný. Vlivem používání tak snadno mohlo dojít k propadnutí prahu a následně také k netěsnosti mezi křídlem dveří a prahem, která už se nedá nijak napravit,“</w:t>
      </w:r>
      <w:r w:rsidRPr="001E0577">
        <w:rPr>
          <w:rFonts w:ascii="Arial" w:hAnsi="Arial" w:cs="Arial"/>
          <w:sz w:val="20"/>
          <w:szCs w:val="20"/>
        </w:rPr>
        <w:t xml:space="preserve"> vzpomíná Richard Vácha.</w:t>
      </w:r>
      <w:r w:rsidR="008C2C96" w:rsidRPr="001E0577">
        <w:rPr>
          <w:rFonts w:ascii="Arial" w:hAnsi="Arial" w:cs="Arial"/>
          <w:sz w:val="20"/>
          <w:szCs w:val="20"/>
        </w:rPr>
        <w:t xml:space="preserve"> Správný </w:t>
      </w:r>
      <w:r w:rsidR="00130AD8" w:rsidRPr="001E0577">
        <w:rPr>
          <w:rFonts w:ascii="Arial" w:hAnsi="Arial" w:cs="Arial"/>
          <w:sz w:val="20"/>
          <w:szCs w:val="20"/>
        </w:rPr>
        <w:t>návrh zabudování</w:t>
      </w:r>
      <w:r w:rsidR="008C2C96" w:rsidRPr="001E0577">
        <w:rPr>
          <w:rFonts w:ascii="Arial" w:hAnsi="Arial" w:cs="Arial"/>
          <w:sz w:val="20"/>
          <w:szCs w:val="20"/>
        </w:rPr>
        <w:t xml:space="preserve"> pro celou škálu vchodových dveří </w:t>
      </w:r>
      <w:r w:rsidR="00130AD8" w:rsidRPr="001E0577">
        <w:rPr>
          <w:rFonts w:ascii="Arial" w:hAnsi="Arial" w:cs="Arial"/>
          <w:sz w:val="20"/>
          <w:szCs w:val="20"/>
        </w:rPr>
        <w:t xml:space="preserve">upravuje patřičná norma (zmiňuje např. </w:t>
      </w:r>
      <w:r w:rsidR="00130AD8" w:rsidRPr="001E0577">
        <w:rPr>
          <w:rFonts w:ascii="Arial" w:hAnsi="Arial" w:cs="Arial"/>
          <w:sz w:val="20"/>
          <w:szCs w:val="20"/>
        </w:rPr>
        <w:t>toleranc</w:t>
      </w:r>
      <w:r w:rsidR="00130AD8" w:rsidRPr="001E0577">
        <w:rPr>
          <w:rFonts w:ascii="Arial" w:hAnsi="Arial" w:cs="Arial"/>
          <w:sz w:val="20"/>
          <w:szCs w:val="20"/>
        </w:rPr>
        <w:t>i</w:t>
      </w:r>
      <w:r w:rsidR="00130AD8" w:rsidRPr="001E0577">
        <w:rPr>
          <w:rFonts w:ascii="Arial" w:hAnsi="Arial" w:cs="Arial"/>
          <w:sz w:val="20"/>
          <w:szCs w:val="20"/>
        </w:rPr>
        <w:t xml:space="preserve"> stavebního otvoru, způsob upevnění výrobku, šířku připojovací spáry, použití uzávěrů, nosných profilů a distančních podložek</w:t>
      </w:r>
      <w:r w:rsidR="00130AD8" w:rsidRPr="001E0577">
        <w:rPr>
          <w:rFonts w:ascii="Arial" w:hAnsi="Arial" w:cs="Arial"/>
          <w:sz w:val="20"/>
          <w:szCs w:val="20"/>
        </w:rPr>
        <w:t>)</w:t>
      </w:r>
      <w:r w:rsidR="00130AD8" w:rsidRPr="001E0577">
        <w:rPr>
          <w:rFonts w:ascii="Arial" w:hAnsi="Arial" w:cs="Arial"/>
          <w:sz w:val="20"/>
          <w:szCs w:val="20"/>
        </w:rPr>
        <w:t>.</w:t>
      </w:r>
      <w:r w:rsidR="00130AD8" w:rsidRPr="001E0577">
        <w:rPr>
          <w:rFonts w:ascii="Arial" w:hAnsi="Arial" w:cs="Arial"/>
          <w:sz w:val="20"/>
          <w:szCs w:val="20"/>
        </w:rPr>
        <w:t xml:space="preserve"> </w:t>
      </w:r>
      <w:r w:rsidR="008C2C96" w:rsidRPr="001E0577">
        <w:rPr>
          <w:rFonts w:ascii="Arial" w:hAnsi="Arial" w:cs="Arial"/>
          <w:sz w:val="20"/>
          <w:szCs w:val="20"/>
        </w:rPr>
        <w:t>Tou by se měli řídit nejen ok</w:t>
      </w:r>
      <w:r w:rsidR="00130AD8" w:rsidRPr="001E0577">
        <w:rPr>
          <w:rFonts w:ascii="Arial" w:hAnsi="Arial" w:cs="Arial"/>
          <w:sz w:val="20"/>
          <w:szCs w:val="20"/>
        </w:rPr>
        <w:t>enáři</w:t>
      </w:r>
      <w:r w:rsidR="008C2C96" w:rsidRPr="001E0577">
        <w:rPr>
          <w:rFonts w:ascii="Arial" w:hAnsi="Arial" w:cs="Arial"/>
          <w:sz w:val="20"/>
          <w:szCs w:val="20"/>
        </w:rPr>
        <w:t>, ale</w:t>
      </w:r>
      <w:r w:rsidR="00130AD8" w:rsidRPr="001E0577">
        <w:rPr>
          <w:rFonts w:ascii="Arial" w:hAnsi="Arial" w:cs="Arial"/>
          <w:sz w:val="20"/>
          <w:szCs w:val="20"/>
        </w:rPr>
        <w:t xml:space="preserve"> hlavně t</w:t>
      </w:r>
      <w:r w:rsidR="008C2C96" w:rsidRPr="001E0577">
        <w:rPr>
          <w:rFonts w:ascii="Arial" w:hAnsi="Arial" w:cs="Arial"/>
          <w:sz w:val="20"/>
          <w:szCs w:val="20"/>
        </w:rPr>
        <w:t xml:space="preserve">i, kdo </w:t>
      </w:r>
      <w:r w:rsidR="00130AD8" w:rsidRPr="001E0577">
        <w:rPr>
          <w:rFonts w:ascii="Arial" w:hAnsi="Arial" w:cs="Arial"/>
          <w:sz w:val="20"/>
          <w:szCs w:val="20"/>
        </w:rPr>
        <w:t xml:space="preserve">stavbu nebo </w:t>
      </w:r>
      <w:r w:rsidR="008C2C96" w:rsidRPr="001E0577">
        <w:rPr>
          <w:rFonts w:ascii="Arial" w:hAnsi="Arial" w:cs="Arial"/>
          <w:sz w:val="20"/>
          <w:szCs w:val="20"/>
        </w:rPr>
        <w:t>stavební otvory pro okna a dveře připravují.</w:t>
      </w:r>
    </w:p>
    <w:p w14:paraId="3F1465D6" w14:textId="77777777" w:rsidR="000712A4" w:rsidRPr="001E0577" w:rsidRDefault="000712A4">
      <w:pPr>
        <w:rPr>
          <w:rFonts w:ascii="Arial" w:hAnsi="Arial" w:cs="Arial"/>
          <w:sz w:val="20"/>
          <w:szCs w:val="20"/>
        </w:rPr>
      </w:pPr>
    </w:p>
    <w:p w14:paraId="5B29833B" w14:textId="77777777" w:rsidR="0015726B" w:rsidRPr="001E0577" w:rsidRDefault="0015726B">
      <w:pPr>
        <w:rPr>
          <w:rFonts w:ascii="Arial" w:hAnsi="Arial" w:cs="Arial"/>
          <w:sz w:val="20"/>
          <w:szCs w:val="20"/>
        </w:rPr>
      </w:pPr>
    </w:p>
    <w:p w14:paraId="2056D990" w14:textId="53F8B745" w:rsidR="0015726B" w:rsidRPr="001E0577" w:rsidRDefault="0015726B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31B4E96" wp14:editId="410EB525">
            <wp:extent cx="3048000" cy="2285327"/>
            <wp:effectExtent l="0" t="0" r="0" b="1270"/>
            <wp:docPr id="2067472949" name="Obrázek 3" descr="Obsah obrázku osoba, hřebík, území, ru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72949" name="Obrázek 3" descr="Obsah obrázku osoba, hřebík, území, ru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24" cy="231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4B9D" w14:textId="42A1554F" w:rsidR="0015726B" w:rsidRPr="001E0577" w:rsidRDefault="0015726B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>Spodní detail okna: směs</w:t>
      </w:r>
      <w:r w:rsidR="009D3377" w:rsidRPr="001E0577">
        <w:rPr>
          <w:rFonts w:ascii="Arial" w:hAnsi="Arial" w:cs="Arial"/>
          <w:sz w:val="20"/>
          <w:szCs w:val="20"/>
        </w:rPr>
        <w:t xml:space="preserve"> nečistot,</w:t>
      </w:r>
      <w:r w:rsidRPr="001E0577">
        <w:rPr>
          <w:rFonts w:ascii="Arial" w:hAnsi="Arial" w:cs="Arial"/>
          <w:sz w:val="20"/>
          <w:szCs w:val="20"/>
        </w:rPr>
        <w:t xml:space="preserve"> tvrzeného polystyrenu (světle růžová destička), izolační pěny a dřevěných hranolů (které mají sloužit </w:t>
      </w:r>
      <w:r w:rsidR="000712A4" w:rsidRPr="001E0577">
        <w:rPr>
          <w:rFonts w:ascii="Arial" w:hAnsi="Arial" w:cs="Arial"/>
          <w:sz w:val="20"/>
          <w:szCs w:val="20"/>
        </w:rPr>
        <w:t xml:space="preserve">jen dočasně </w:t>
      </w:r>
      <w:r w:rsidR="00C7594A" w:rsidRPr="001E0577">
        <w:rPr>
          <w:rFonts w:ascii="Arial" w:hAnsi="Arial" w:cs="Arial"/>
          <w:sz w:val="20"/>
          <w:szCs w:val="20"/>
        </w:rPr>
        <w:t>pro vyrovnání</w:t>
      </w:r>
      <w:r w:rsidRPr="001E0577">
        <w:rPr>
          <w:rFonts w:ascii="Arial" w:hAnsi="Arial" w:cs="Arial"/>
          <w:sz w:val="20"/>
          <w:szCs w:val="20"/>
        </w:rPr>
        <w:t xml:space="preserve"> okna během jeho kotvení, ale zde jsou využity jako nosné podložky).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 </w:t>
      </w:r>
      <w:r w:rsidR="009D3377" w:rsidRPr="001E0577">
        <w:rPr>
          <w:rFonts w:ascii="Arial" w:hAnsi="Arial" w:cs="Arial"/>
          <w:i/>
          <w:iCs/>
          <w:sz w:val="20"/>
          <w:szCs w:val="20"/>
        </w:rPr>
        <w:t>„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Jde o nasákavý materiál a jednoznačně také o tepelný most. Místo této </w:t>
      </w:r>
      <w:r w:rsidR="003B64EB" w:rsidRPr="001E0577">
        <w:rPr>
          <w:rFonts w:ascii="Arial" w:hAnsi="Arial" w:cs="Arial"/>
          <w:i/>
          <w:iCs/>
          <w:sz w:val="20"/>
          <w:szCs w:val="20"/>
        </w:rPr>
        <w:t>‚</w:t>
      </w:r>
      <w:r w:rsidRPr="001E0577">
        <w:rPr>
          <w:rFonts w:ascii="Arial" w:hAnsi="Arial" w:cs="Arial"/>
          <w:i/>
          <w:iCs/>
          <w:sz w:val="20"/>
          <w:szCs w:val="20"/>
        </w:rPr>
        <w:t>směsi</w:t>
      </w:r>
      <w:r w:rsidR="003B64EB" w:rsidRPr="001E0577">
        <w:rPr>
          <w:rFonts w:ascii="Arial" w:hAnsi="Arial" w:cs="Arial"/>
          <w:i/>
          <w:iCs/>
          <w:sz w:val="20"/>
          <w:szCs w:val="20"/>
        </w:rPr>
        <w:t>‘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 by zde</w:t>
      </w:r>
      <w:r w:rsidR="009D3377" w:rsidRPr="001E0577">
        <w:rPr>
          <w:rFonts w:ascii="Arial" w:hAnsi="Arial" w:cs="Arial"/>
          <w:i/>
          <w:iCs/>
          <w:sz w:val="20"/>
          <w:szCs w:val="20"/>
        </w:rPr>
        <w:t xml:space="preserve"> měl být </w:t>
      </w:r>
      <w:r w:rsidR="009D3377" w:rsidRPr="001E0577">
        <w:rPr>
          <w:rFonts w:ascii="Arial" w:hAnsi="Arial" w:cs="Arial"/>
          <w:i/>
          <w:iCs/>
          <w:sz w:val="20"/>
          <w:szCs w:val="20"/>
        </w:rPr>
        <w:t>nosný podkladní profil, který doplní spár</w:t>
      </w:r>
      <w:r w:rsidR="009D3377" w:rsidRPr="001E0577">
        <w:rPr>
          <w:rFonts w:ascii="Arial" w:hAnsi="Arial" w:cs="Arial"/>
          <w:i/>
          <w:iCs/>
          <w:sz w:val="20"/>
          <w:szCs w:val="20"/>
        </w:rPr>
        <w:t xml:space="preserve">u </w:t>
      </w:r>
      <w:r w:rsidRPr="001E0577">
        <w:rPr>
          <w:rFonts w:ascii="Arial" w:hAnsi="Arial" w:cs="Arial"/>
          <w:i/>
          <w:iCs/>
          <w:sz w:val="20"/>
          <w:szCs w:val="20"/>
        </w:rPr>
        <w:t>podle skladby podlahy. Tyto profily splňují tepelněizolační požadavky a umožňují připojení hydroizolace</w:t>
      </w:r>
      <w:r w:rsidR="003B64EB" w:rsidRPr="001E0577">
        <w:rPr>
          <w:rFonts w:ascii="Arial" w:hAnsi="Arial" w:cs="Arial"/>
          <w:i/>
          <w:iCs/>
          <w:sz w:val="20"/>
          <w:szCs w:val="20"/>
        </w:rPr>
        <w:t>,“</w:t>
      </w:r>
      <w:r w:rsidR="003B64EB" w:rsidRPr="001E0577">
        <w:rPr>
          <w:rFonts w:ascii="Arial" w:hAnsi="Arial" w:cs="Arial"/>
          <w:sz w:val="20"/>
          <w:szCs w:val="20"/>
        </w:rPr>
        <w:t xml:space="preserve"> doporučuje Richard Vácha z Deceuninck.</w:t>
      </w:r>
    </w:p>
    <w:p w14:paraId="0FD193E0" w14:textId="77777777" w:rsidR="0015726B" w:rsidRPr="001E0577" w:rsidRDefault="0015726B">
      <w:pPr>
        <w:rPr>
          <w:rFonts w:ascii="Arial" w:hAnsi="Arial" w:cs="Arial"/>
          <w:sz w:val="20"/>
          <w:szCs w:val="20"/>
        </w:rPr>
      </w:pPr>
    </w:p>
    <w:p w14:paraId="0A6C532C" w14:textId="77777777" w:rsidR="0015726B" w:rsidRPr="001E0577" w:rsidRDefault="0015726B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670C81" wp14:editId="51421ECB">
            <wp:extent cx="3048000" cy="2285328"/>
            <wp:effectExtent l="0" t="0" r="0" b="1270"/>
            <wp:docPr id="1290153635" name="Obrázek 4" descr="Obsah obrázku plyn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53635" name="Obrázek 4" descr="Obsah obrázku plyn, územ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61" cy="23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A24A3" w14:textId="1ED69D37" w:rsidR="00B4756F" w:rsidRPr="001E0577" w:rsidRDefault="0015726B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>Pohled na čistou podlahu, kam už přijde položit jen finální povrch (krytin</w:t>
      </w:r>
      <w:r w:rsidR="009D3377" w:rsidRPr="001E0577">
        <w:rPr>
          <w:rFonts w:ascii="Arial" w:hAnsi="Arial" w:cs="Arial"/>
          <w:sz w:val="20"/>
          <w:szCs w:val="20"/>
        </w:rPr>
        <w:t>u</w:t>
      </w:r>
      <w:r w:rsidRPr="001E0577">
        <w:rPr>
          <w:rFonts w:ascii="Arial" w:hAnsi="Arial" w:cs="Arial"/>
          <w:sz w:val="20"/>
          <w:szCs w:val="20"/>
        </w:rPr>
        <w:t xml:space="preserve">). </w:t>
      </w:r>
      <w:r w:rsidR="005D7558" w:rsidRPr="001E0577">
        <w:rPr>
          <w:rFonts w:ascii="Arial" w:hAnsi="Arial" w:cs="Arial"/>
          <w:i/>
          <w:iCs/>
          <w:sz w:val="20"/>
          <w:szCs w:val="20"/>
        </w:rPr>
        <w:t>„</w:t>
      </w:r>
      <w:r w:rsidR="00C05160" w:rsidRPr="001E0577">
        <w:rPr>
          <w:rFonts w:ascii="Arial" w:hAnsi="Arial" w:cs="Arial"/>
          <w:i/>
          <w:iCs/>
          <w:sz w:val="20"/>
          <w:szCs w:val="20"/>
        </w:rPr>
        <w:t xml:space="preserve">Nosné podložky vystupují směrem do místnosti, takže ten, kdo bude 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 xml:space="preserve">podlahu </w:t>
      </w:r>
      <w:r w:rsidR="00C05160" w:rsidRPr="001E0577">
        <w:rPr>
          <w:rFonts w:ascii="Arial" w:hAnsi="Arial" w:cs="Arial"/>
          <w:i/>
          <w:iCs/>
          <w:sz w:val="20"/>
          <w:szCs w:val="20"/>
        </w:rPr>
        <w:t>pokládat, je bude muset odříznout nebo uštípnout</w:t>
      </w:r>
      <w:r w:rsidR="005D7558" w:rsidRPr="001E0577">
        <w:rPr>
          <w:rFonts w:ascii="Arial" w:hAnsi="Arial" w:cs="Arial"/>
          <w:i/>
          <w:iCs/>
          <w:sz w:val="20"/>
          <w:szCs w:val="20"/>
        </w:rPr>
        <w:t>,</w:t>
      </w:r>
      <w:r w:rsidR="00C05160" w:rsidRPr="001E0577">
        <w:rPr>
          <w:rFonts w:ascii="Arial" w:hAnsi="Arial" w:cs="Arial"/>
          <w:i/>
          <w:iCs/>
          <w:sz w:val="20"/>
          <w:szCs w:val="20"/>
        </w:rPr>
        <w:t xml:space="preserve"> a tím poruší připojovací spáru. V detailu také vidíme izolační pěnu vystupující do místnosti – parotěsný uzávěr připojovací spáry tady tedy není nijak vyřešený a vlhkost se může dostávat </w:t>
      </w:r>
      <w:r w:rsidR="009D3377" w:rsidRPr="001E0577">
        <w:rPr>
          <w:rFonts w:ascii="Arial" w:hAnsi="Arial" w:cs="Arial"/>
          <w:i/>
          <w:iCs/>
          <w:sz w:val="20"/>
          <w:szCs w:val="20"/>
        </w:rPr>
        <w:t>nejen do připojovací spáry ale také do nosného hranolu</w:t>
      </w:r>
      <w:r w:rsidR="00C05160" w:rsidRPr="001E0577">
        <w:rPr>
          <w:rFonts w:ascii="Arial" w:hAnsi="Arial" w:cs="Arial"/>
          <w:i/>
          <w:iCs/>
          <w:sz w:val="20"/>
          <w:szCs w:val="20"/>
        </w:rPr>
        <w:t xml:space="preserve">. Správně 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 xml:space="preserve">by </w:t>
      </w:r>
      <w:r w:rsidR="00C05160" w:rsidRPr="001E0577">
        <w:rPr>
          <w:rFonts w:ascii="Arial" w:hAnsi="Arial" w:cs="Arial"/>
          <w:i/>
          <w:iCs/>
          <w:sz w:val="20"/>
          <w:szCs w:val="20"/>
        </w:rPr>
        <w:t xml:space="preserve">měla být </w:t>
      </w:r>
      <w:r w:rsidR="001E0577" w:rsidRPr="001E0577">
        <w:rPr>
          <w:rFonts w:ascii="Arial" w:hAnsi="Arial" w:cs="Arial"/>
          <w:i/>
          <w:iCs/>
          <w:sz w:val="20"/>
          <w:szCs w:val="20"/>
        </w:rPr>
        <w:t>vyřešena hydroizolace dřevěného hranolu, nosné podložky a izolační pěna začištěné</w:t>
      </w:r>
      <w:r w:rsidR="00C05160" w:rsidRPr="001E0577">
        <w:rPr>
          <w:rFonts w:ascii="Arial" w:hAnsi="Arial" w:cs="Arial"/>
          <w:i/>
          <w:iCs/>
          <w:sz w:val="20"/>
          <w:szCs w:val="20"/>
        </w:rPr>
        <w:t>, spára přelepená parotěsnou páskou a teprve potom se dělá čistá podlaha</w:t>
      </w:r>
      <w:r w:rsidR="005D7558" w:rsidRPr="001E0577">
        <w:rPr>
          <w:rFonts w:ascii="Arial" w:hAnsi="Arial" w:cs="Arial"/>
          <w:i/>
          <w:iCs/>
          <w:sz w:val="20"/>
          <w:szCs w:val="20"/>
        </w:rPr>
        <w:t>,“</w:t>
      </w:r>
      <w:r w:rsidR="005D7558" w:rsidRPr="001E0577">
        <w:rPr>
          <w:rFonts w:ascii="Arial" w:hAnsi="Arial" w:cs="Arial"/>
          <w:sz w:val="20"/>
          <w:szCs w:val="20"/>
        </w:rPr>
        <w:t xml:space="preserve"> uvádí správný postup Richard Vácha, technik výrobce okenních profilů Deceuninck.</w:t>
      </w:r>
      <w:r w:rsidR="00004F35" w:rsidRPr="001E0577">
        <w:rPr>
          <w:rFonts w:ascii="Arial" w:hAnsi="Arial" w:cs="Arial"/>
          <w:sz w:val="20"/>
          <w:szCs w:val="20"/>
        </w:rPr>
        <w:t xml:space="preserve"> </w:t>
      </w:r>
    </w:p>
    <w:p w14:paraId="37FF2247" w14:textId="77777777" w:rsidR="00B4756F" w:rsidRPr="001E0577" w:rsidRDefault="00B4756F">
      <w:pPr>
        <w:rPr>
          <w:rFonts w:ascii="Arial" w:hAnsi="Arial" w:cs="Arial"/>
          <w:sz w:val="20"/>
          <w:szCs w:val="20"/>
        </w:rPr>
      </w:pPr>
    </w:p>
    <w:p w14:paraId="346F2666" w14:textId="5CED6FEC" w:rsidR="005839B8" w:rsidRPr="00585554" w:rsidRDefault="005839B8" w:rsidP="00585554">
      <w:pPr>
        <w:pStyle w:val="Nadpis2"/>
        <w:rPr>
          <w:rFonts w:ascii="Arial" w:hAnsi="Arial" w:cs="Arial"/>
          <w:sz w:val="28"/>
          <w:szCs w:val="28"/>
        </w:rPr>
      </w:pPr>
      <w:r w:rsidRPr="00585554">
        <w:rPr>
          <w:rFonts w:ascii="Arial" w:hAnsi="Arial" w:cs="Arial"/>
          <w:sz w:val="28"/>
          <w:szCs w:val="28"/>
        </w:rPr>
        <w:lastRenderedPageBreak/>
        <w:t>Špatné řešení připojovací spáry</w:t>
      </w:r>
    </w:p>
    <w:p w14:paraId="33CBFBD0" w14:textId="52D6B3B9" w:rsidR="005839B8" w:rsidRPr="001E0577" w:rsidRDefault="005D7558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B993FB" wp14:editId="387F9935">
            <wp:extent cx="3048000" cy="2285328"/>
            <wp:effectExtent l="0" t="0" r="0" b="1270"/>
            <wp:docPr id="1099291914" name="Obrázek 5" descr="Obsah obrázku budova, zeď, území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91914" name="Obrázek 5" descr="Obsah obrázku budova, zeď, území, ok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90" cy="22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06E8" w14:textId="25ABE6ED" w:rsidR="005D7558" w:rsidRPr="001E0577" w:rsidRDefault="005D7558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>Extrémně velká připojovací spára</w:t>
      </w:r>
      <w:r w:rsidR="00A50108" w:rsidRPr="001E0577">
        <w:rPr>
          <w:rFonts w:ascii="Arial" w:hAnsi="Arial" w:cs="Arial"/>
          <w:sz w:val="20"/>
          <w:szCs w:val="20"/>
        </w:rPr>
        <w:t xml:space="preserve"> vycpaná dřevěnými klíny, které se mají používat jen k vyrovnání okna během kotvení.</w:t>
      </w:r>
    </w:p>
    <w:p w14:paraId="2B733BD0" w14:textId="608DE95C" w:rsidR="00A50108" w:rsidRPr="001E0577" w:rsidRDefault="00A50108">
      <w:pPr>
        <w:rPr>
          <w:rFonts w:ascii="Arial" w:hAnsi="Arial" w:cs="Arial"/>
          <w:sz w:val="20"/>
          <w:szCs w:val="20"/>
        </w:rPr>
      </w:pPr>
    </w:p>
    <w:p w14:paraId="07C88DB4" w14:textId="7229AFF8" w:rsidR="005839B8" w:rsidRPr="001E0577" w:rsidRDefault="00A613E1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5874DE" wp14:editId="030A2D7C">
            <wp:extent cx="3048000" cy="2286000"/>
            <wp:effectExtent l="0" t="0" r="0" b="0"/>
            <wp:docPr id="1653318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6108" w14:textId="7E589D2A" w:rsidR="00A613E1" w:rsidRPr="001E0577" w:rsidRDefault="00A613E1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 xml:space="preserve">Extrémně malá (spíš žádná) připojovací spára. 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„Každý materiál, ať jde o profily z hliníku, dřeva nebo PVC, </w:t>
      </w:r>
      <w:r w:rsidR="00656EB9" w:rsidRPr="001E0577">
        <w:rPr>
          <w:rFonts w:ascii="Arial" w:hAnsi="Arial" w:cs="Arial"/>
          <w:i/>
          <w:iCs/>
          <w:sz w:val="20"/>
          <w:szCs w:val="20"/>
        </w:rPr>
        <w:t xml:space="preserve">vlivem teploty dilatují. </w:t>
      </w:r>
      <w:r w:rsidR="00317D5A" w:rsidRPr="001E0577">
        <w:rPr>
          <w:rFonts w:ascii="Arial" w:hAnsi="Arial" w:cs="Arial"/>
          <w:i/>
          <w:iCs/>
          <w:sz w:val="20"/>
          <w:szCs w:val="20"/>
        </w:rPr>
        <w:t>Pokud nemají prostor, kam se roztáhnout, dochází k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> </w:t>
      </w:r>
      <w:r w:rsidR="00317D5A" w:rsidRPr="001E0577">
        <w:rPr>
          <w:rFonts w:ascii="Arial" w:hAnsi="Arial" w:cs="Arial"/>
          <w:i/>
          <w:iCs/>
          <w:sz w:val="20"/>
          <w:szCs w:val="20"/>
        </w:rPr>
        <w:t>deformacím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 xml:space="preserve"> profilu, jaké</w:t>
      </w:r>
      <w:r w:rsidR="00317D5A" w:rsidRPr="001E0577">
        <w:rPr>
          <w:rFonts w:ascii="Arial" w:hAnsi="Arial" w:cs="Arial"/>
          <w:i/>
          <w:iCs/>
          <w:sz w:val="20"/>
          <w:szCs w:val="20"/>
        </w:rPr>
        <w:t xml:space="preserve"> vidíme i na obrázku,“</w:t>
      </w:r>
      <w:r w:rsidR="00317D5A" w:rsidRPr="001E0577">
        <w:rPr>
          <w:rFonts w:ascii="Arial" w:hAnsi="Arial" w:cs="Arial"/>
          <w:sz w:val="20"/>
          <w:szCs w:val="20"/>
        </w:rPr>
        <w:t xml:space="preserve"> vysvětluje Richard Vácha z Deceuninck.</w:t>
      </w:r>
    </w:p>
    <w:p w14:paraId="077DF2EC" w14:textId="77777777" w:rsidR="00481CC3" w:rsidRPr="001E0577" w:rsidRDefault="00481CC3">
      <w:pPr>
        <w:rPr>
          <w:rFonts w:ascii="Arial" w:hAnsi="Arial" w:cs="Arial"/>
          <w:sz w:val="20"/>
          <w:szCs w:val="20"/>
        </w:rPr>
      </w:pPr>
    </w:p>
    <w:p w14:paraId="4CD1950B" w14:textId="1EC78C2B" w:rsidR="005839B8" w:rsidRPr="001E0577" w:rsidRDefault="00083EB0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0049A1" wp14:editId="1F75BE17">
            <wp:extent cx="3048000" cy="2286000"/>
            <wp:effectExtent l="0" t="0" r="0" b="0"/>
            <wp:docPr id="39315088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86DCE" w14:textId="76FD9B9B" w:rsidR="00083EB0" w:rsidRPr="001E0577" w:rsidRDefault="003838CE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lastRenderedPageBreak/>
        <w:t>F</w:t>
      </w:r>
      <w:r w:rsidR="00083EB0" w:rsidRPr="001E0577">
        <w:rPr>
          <w:rFonts w:ascii="Arial" w:hAnsi="Arial" w:cs="Arial"/>
          <w:sz w:val="20"/>
          <w:szCs w:val="20"/>
        </w:rPr>
        <w:t xml:space="preserve">inální podlaha (terasa) </w:t>
      </w:r>
      <w:r w:rsidRPr="001E0577">
        <w:rPr>
          <w:rFonts w:ascii="Arial" w:hAnsi="Arial" w:cs="Arial"/>
          <w:sz w:val="20"/>
          <w:szCs w:val="20"/>
        </w:rPr>
        <w:t xml:space="preserve">je </w:t>
      </w:r>
      <w:r w:rsidR="00083EB0" w:rsidRPr="001E0577">
        <w:rPr>
          <w:rFonts w:ascii="Arial" w:hAnsi="Arial" w:cs="Arial"/>
          <w:sz w:val="20"/>
          <w:szCs w:val="20"/>
        </w:rPr>
        <w:t>dotažena až</w:t>
      </w:r>
      <w:r w:rsidR="00DA0B7A" w:rsidRPr="001E0577">
        <w:rPr>
          <w:rFonts w:ascii="Arial" w:hAnsi="Arial" w:cs="Arial"/>
          <w:sz w:val="20"/>
          <w:szCs w:val="20"/>
        </w:rPr>
        <w:t xml:space="preserve"> k prahu. </w:t>
      </w:r>
      <w:r w:rsidR="00DA0B7A" w:rsidRPr="001E0577">
        <w:rPr>
          <w:rFonts w:ascii="Arial" w:hAnsi="Arial" w:cs="Arial"/>
          <w:i/>
          <w:iCs/>
          <w:sz w:val="20"/>
          <w:szCs w:val="20"/>
        </w:rPr>
        <w:t>„To</w:t>
      </w:r>
      <w:r w:rsidRPr="001E0577">
        <w:rPr>
          <w:rFonts w:ascii="Arial" w:hAnsi="Arial" w:cs="Arial"/>
          <w:i/>
          <w:iCs/>
          <w:sz w:val="20"/>
          <w:szCs w:val="20"/>
        </w:rPr>
        <w:t>,</w:t>
      </w:r>
      <w:r w:rsidR="00DA0B7A" w:rsidRPr="001E0577">
        <w:rPr>
          <w:rFonts w:ascii="Arial" w:hAnsi="Arial" w:cs="Arial"/>
          <w:i/>
          <w:iCs/>
          <w:sz w:val="20"/>
          <w:szCs w:val="20"/>
        </w:rPr>
        <w:t xml:space="preserve"> že vidíme na polystyren</w:t>
      </w:r>
      <w:r w:rsidRPr="001E0577">
        <w:rPr>
          <w:rFonts w:ascii="Arial" w:hAnsi="Arial" w:cs="Arial"/>
          <w:i/>
          <w:iCs/>
          <w:sz w:val="20"/>
          <w:szCs w:val="20"/>
        </w:rPr>
        <w:t>,</w:t>
      </w:r>
      <w:r w:rsidR="00DA0B7A" w:rsidRPr="001E0577">
        <w:rPr>
          <w:rFonts w:ascii="Arial" w:hAnsi="Arial" w:cs="Arial"/>
          <w:i/>
          <w:iCs/>
          <w:sz w:val="20"/>
          <w:szCs w:val="20"/>
        </w:rPr>
        <w:t xml:space="preserve"> je opět důkazem špatného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 (</w:t>
      </w:r>
      <w:r w:rsidR="00DA0B7A" w:rsidRPr="001E0577">
        <w:rPr>
          <w:rFonts w:ascii="Arial" w:hAnsi="Arial" w:cs="Arial"/>
          <w:i/>
          <w:iCs/>
          <w:sz w:val="20"/>
          <w:szCs w:val="20"/>
        </w:rPr>
        <w:t>resp. žádného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) </w:t>
      </w:r>
      <w:r w:rsidR="001E0577" w:rsidRPr="001E0577">
        <w:rPr>
          <w:rFonts w:ascii="Arial" w:hAnsi="Arial" w:cs="Arial"/>
          <w:i/>
          <w:iCs/>
          <w:sz w:val="20"/>
          <w:szCs w:val="20"/>
        </w:rPr>
        <w:t xml:space="preserve">řešení </w:t>
      </w:r>
      <w:r w:rsidR="00DA0B7A" w:rsidRPr="001E0577">
        <w:rPr>
          <w:rFonts w:ascii="Arial" w:hAnsi="Arial" w:cs="Arial"/>
          <w:i/>
          <w:iCs/>
          <w:sz w:val="20"/>
          <w:szCs w:val="20"/>
        </w:rPr>
        <w:t xml:space="preserve">připojovací spáry. Polystyren a 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 xml:space="preserve">montážní </w:t>
      </w:r>
      <w:r w:rsidR="00DA0B7A" w:rsidRPr="001E0577">
        <w:rPr>
          <w:rFonts w:ascii="Arial" w:hAnsi="Arial" w:cs="Arial"/>
          <w:i/>
          <w:iCs/>
          <w:sz w:val="20"/>
          <w:szCs w:val="20"/>
        </w:rPr>
        <w:t>pěna budou časem degradovat, dojde k otevření připojovací spáry a zatékání vody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>,</w:t>
      </w:r>
      <w:r w:rsidR="00DA0B7A" w:rsidRPr="001E0577">
        <w:rPr>
          <w:rFonts w:ascii="Arial" w:hAnsi="Arial" w:cs="Arial"/>
          <w:i/>
          <w:iCs/>
          <w:sz w:val="20"/>
          <w:szCs w:val="20"/>
        </w:rPr>
        <w:t>“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 xml:space="preserve"> </w:t>
      </w:r>
      <w:r w:rsidR="00004F35" w:rsidRPr="001E0577">
        <w:rPr>
          <w:rFonts w:ascii="Arial" w:hAnsi="Arial" w:cs="Arial"/>
          <w:sz w:val="20"/>
          <w:szCs w:val="20"/>
        </w:rPr>
        <w:t>doplňuje Richard Vácha.</w:t>
      </w:r>
    </w:p>
    <w:p w14:paraId="1EDDAC73" w14:textId="6E424C37" w:rsidR="00DA0B7A" w:rsidRPr="001E0577" w:rsidRDefault="00DA0B7A">
      <w:pPr>
        <w:rPr>
          <w:rFonts w:ascii="Arial" w:hAnsi="Arial" w:cs="Arial"/>
          <w:i/>
          <w:iCs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BC2B55" wp14:editId="2252012C">
            <wp:extent cx="3048000" cy="2286000"/>
            <wp:effectExtent l="0" t="0" r="0" b="0"/>
            <wp:docPr id="134891111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244B1" w14:textId="7B29564C" w:rsidR="00DA0B7A" w:rsidRPr="001E0577" w:rsidRDefault="00DA0B7A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>Pohled z interiéru na stejné dveře</w:t>
      </w:r>
      <w:r w:rsidR="003838CE" w:rsidRPr="001E0577">
        <w:rPr>
          <w:rFonts w:ascii="Arial" w:hAnsi="Arial" w:cs="Arial"/>
          <w:sz w:val="20"/>
          <w:szCs w:val="20"/>
        </w:rPr>
        <w:t xml:space="preserve"> </w:t>
      </w:r>
      <w:r w:rsidRPr="001E0577">
        <w:rPr>
          <w:rFonts w:ascii="Arial" w:hAnsi="Arial" w:cs="Arial"/>
          <w:sz w:val="20"/>
          <w:szCs w:val="20"/>
        </w:rPr>
        <w:t>jen dokládá</w:t>
      </w:r>
      <w:r w:rsidR="008D593D" w:rsidRPr="001E0577">
        <w:rPr>
          <w:rFonts w:ascii="Arial" w:hAnsi="Arial" w:cs="Arial"/>
          <w:sz w:val="20"/>
          <w:szCs w:val="20"/>
        </w:rPr>
        <w:t xml:space="preserve"> </w:t>
      </w:r>
      <w:r w:rsidRPr="001E0577">
        <w:rPr>
          <w:rFonts w:ascii="Arial" w:hAnsi="Arial" w:cs="Arial"/>
          <w:sz w:val="20"/>
          <w:szCs w:val="20"/>
        </w:rPr>
        <w:t>nedbale provedenou montáž (nezačištěn</w:t>
      </w:r>
      <w:r w:rsidR="003838CE" w:rsidRPr="001E0577">
        <w:rPr>
          <w:rFonts w:ascii="Arial" w:hAnsi="Arial" w:cs="Arial"/>
          <w:sz w:val="20"/>
          <w:szCs w:val="20"/>
        </w:rPr>
        <w:t>á</w:t>
      </w:r>
      <w:r w:rsidRPr="001E0577">
        <w:rPr>
          <w:rFonts w:ascii="Arial" w:hAnsi="Arial" w:cs="Arial"/>
          <w:sz w:val="20"/>
          <w:szCs w:val="20"/>
        </w:rPr>
        <w:t xml:space="preserve"> pěna). </w:t>
      </w:r>
    </w:p>
    <w:p w14:paraId="3E19FD3B" w14:textId="77777777" w:rsidR="00223B96" w:rsidRPr="001E0577" w:rsidRDefault="00223B96">
      <w:pPr>
        <w:rPr>
          <w:rFonts w:ascii="Arial" w:hAnsi="Arial" w:cs="Arial"/>
          <w:sz w:val="20"/>
          <w:szCs w:val="20"/>
        </w:rPr>
      </w:pPr>
    </w:p>
    <w:p w14:paraId="09AD479F" w14:textId="24DA02CC" w:rsidR="006D4048" w:rsidRPr="00585554" w:rsidRDefault="006D4048" w:rsidP="00585554">
      <w:pPr>
        <w:pStyle w:val="Nadpis2"/>
        <w:rPr>
          <w:rFonts w:ascii="Arial" w:hAnsi="Arial" w:cs="Arial"/>
          <w:sz w:val="28"/>
          <w:szCs w:val="28"/>
        </w:rPr>
      </w:pPr>
      <w:r w:rsidRPr="00585554">
        <w:rPr>
          <w:rFonts w:ascii="Arial" w:hAnsi="Arial" w:cs="Arial"/>
          <w:sz w:val="28"/>
          <w:szCs w:val="28"/>
        </w:rPr>
        <w:t>Nedotažené „detaily“, na kterých záleží</w:t>
      </w:r>
    </w:p>
    <w:p w14:paraId="33A2DAB6" w14:textId="03318BDB" w:rsidR="006D4048" w:rsidRPr="001E0577" w:rsidRDefault="006D4048" w:rsidP="006D4048">
      <w:pPr>
        <w:pStyle w:val="Nadpis3"/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>PRAHY</w:t>
      </w:r>
    </w:p>
    <w:p w14:paraId="1B8D3B2E" w14:textId="2992F66F" w:rsidR="00DA0B7A" w:rsidRPr="001E0577" w:rsidRDefault="00DA0B7A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4274B2" wp14:editId="17AB5113">
            <wp:extent cx="3048000" cy="2285328"/>
            <wp:effectExtent l="0" t="0" r="0" b="1270"/>
            <wp:docPr id="178484970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32" cy="22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B5A0" w14:textId="39E182A9" w:rsidR="00DA0B7A" w:rsidRPr="001E0577" w:rsidRDefault="00DA0B7A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i/>
          <w:iCs/>
          <w:sz w:val="20"/>
          <w:szCs w:val="20"/>
        </w:rPr>
        <w:t xml:space="preserve">„Při reklamaci vchodových dveří z důvodu rosení jsem na místě zjistil tento stav montáže. </w:t>
      </w:r>
      <w:r w:rsidR="00F64563" w:rsidRPr="001E0577">
        <w:rPr>
          <w:rFonts w:ascii="Arial" w:hAnsi="Arial" w:cs="Arial"/>
          <w:i/>
          <w:iCs/>
          <w:sz w:val="20"/>
          <w:szCs w:val="20"/>
        </w:rPr>
        <w:t>Venkovní podlaha je napojena přímo na práh bez jakékoliv hydroizolace a bez využití podkladového profilu. Obdélníky vlevo a vpravo ukazují, že po rekonstrukci domu zůstala i otevřená fasáda až na zdivo, takže veškerá voda z dlažby se může buď pod prahem nebo pod fasádou dostat až do interiéru. Dveře navíc nejsou správně seřízené,“</w:t>
      </w:r>
      <w:r w:rsidR="00F64563" w:rsidRPr="001E0577">
        <w:rPr>
          <w:rFonts w:ascii="Arial" w:hAnsi="Arial" w:cs="Arial"/>
          <w:sz w:val="20"/>
          <w:szCs w:val="20"/>
        </w:rPr>
        <w:t xml:space="preserve"> doplňuje výčet chyb, které vedly k nespokojenosti zákazníka, Richard Vácha z Deceuninck. </w:t>
      </w:r>
    </w:p>
    <w:p w14:paraId="7B11A71C" w14:textId="77777777" w:rsidR="00004F35" w:rsidRPr="001E0577" w:rsidRDefault="00004F35">
      <w:pPr>
        <w:rPr>
          <w:rFonts w:ascii="Arial" w:hAnsi="Arial" w:cs="Arial"/>
          <w:sz w:val="20"/>
          <w:szCs w:val="20"/>
        </w:rPr>
      </w:pPr>
    </w:p>
    <w:p w14:paraId="0DA01202" w14:textId="43754ADA" w:rsidR="00F64563" w:rsidRPr="001E0577" w:rsidRDefault="00F64563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5A60694" wp14:editId="3E56814E">
            <wp:extent cx="3089548" cy="2316480"/>
            <wp:effectExtent l="0" t="0" r="0" b="7620"/>
            <wp:docPr id="311322717" name="Obrázek 12" descr="Obsah obrázku území, pohřeb, osoba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22717" name="Obrázek 12" descr="Obsah obrázku území, pohřeb, osoba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37" cy="231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5591" w14:textId="2CB86E95" w:rsidR="00F64563" w:rsidRPr="001E0577" w:rsidRDefault="00F64563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 xml:space="preserve">Stejné dveře, pohled zevnitř. Vidíme, že vnitřní podlaha je níž než venkovní, práh byl (opět nesprávně) jen podbetonovaný (namísto využití systémového nebo přímo tepelného podkladového profilu), takže </w:t>
      </w:r>
      <w:r w:rsidR="00004F35" w:rsidRPr="001E0577">
        <w:rPr>
          <w:rFonts w:ascii="Arial" w:hAnsi="Arial" w:cs="Arial"/>
          <w:sz w:val="20"/>
          <w:szCs w:val="20"/>
        </w:rPr>
        <w:t>v místě vznikl</w:t>
      </w:r>
      <w:r w:rsidRPr="001E0577">
        <w:rPr>
          <w:rFonts w:ascii="Arial" w:hAnsi="Arial" w:cs="Arial"/>
          <w:sz w:val="20"/>
          <w:szCs w:val="20"/>
        </w:rPr>
        <w:t xml:space="preserve"> tepelný most. Pronikání vlhkosti (zatečením nebo kondenzací) do interiéru dokládá plíseň. </w:t>
      </w:r>
    </w:p>
    <w:p w14:paraId="7F6CFEF8" w14:textId="77777777" w:rsidR="00202BD4" w:rsidRPr="001E0577" w:rsidRDefault="00202BD4">
      <w:pPr>
        <w:rPr>
          <w:rFonts w:ascii="Arial" w:hAnsi="Arial" w:cs="Arial"/>
          <w:sz w:val="20"/>
          <w:szCs w:val="20"/>
        </w:rPr>
      </w:pPr>
    </w:p>
    <w:p w14:paraId="73427564" w14:textId="6A2EE60F" w:rsidR="00202BD4" w:rsidRPr="001E0577" w:rsidRDefault="00202BD4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A64EF0" wp14:editId="0F189C16">
            <wp:extent cx="3055620" cy="2291041"/>
            <wp:effectExtent l="0" t="0" r="0" b="0"/>
            <wp:docPr id="214114633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08" cy="22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CF4F" w14:textId="7C7F0200" w:rsidR="00202BD4" w:rsidRPr="001E0577" w:rsidRDefault="00202BD4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>Práh HS portálu se zbytečně velkou připojovací spárou, která není dořešená z hlediska izolace (paropropustnou páskou zvenku a parotěsnou zevnitř)</w:t>
      </w:r>
      <w:r w:rsidR="005B42E4" w:rsidRPr="001E0577">
        <w:rPr>
          <w:rFonts w:ascii="Arial" w:hAnsi="Arial" w:cs="Arial"/>
          <w:sz w:val="20"/>
          <w:szCs w:val="20"/>
        </w:rPr>
        <w:t>. Práh navíc není nijak podložený, což už se projevilo prohnutím prahu v místě šipky. Systémové podkladové profily dokážou přenést hmotnost HS portálů (300 a více kilogramů) přímo na základovou desku. Potom k prohnutím v prahové části vlivem zátěže (</w:t>
      </w:r>
      <w:r w:rsidR="00004F35" w:rsidRPr="001E0577">
        <w:rPr>
          <w:rFonts w:ascii="Arial" w:hAnsi="Arial" w:cs="Arial"/>
          <w:sz w:val="20"/>
          <w:szCs w:val="20"/>
        </w:rPr>
        <w:t xml:space="preserve">tj. </w:t>
      </w:r>
      <w:r w:rsidR="005B42E4" w:rsidRPr="001E0577">
        <w:rPr>
          <w:rFonts w:ascii="Arial" w:hAnsi="Arial" w:cs="Arial"/>
          <w:sz w:val="20"/>
          <w:szCs w:val="20"/>
        </w:rPr>
        <w:t>posouvání</w:t>
      </w:r>
      <w:r w:rsidR="00004F35" w:rsidRPr="001E0577">
        <w:rPr>
          <w:rFonts w:ascii="Arial" w:hAnsi="Arial" w:cs="Arial"/>
          <w:sz w:val="20"/>
          <w:szCs w:val="20"/>
        </w:rPr>
        <w:t>m</w:t>
      </w:r>
      <w:r w:rsidR="005B42E4" w:rsidRPr="001E0577">
        <w:rPr>
          <w:rFonts w:ascii="Arial" w:hAnsi="Arial" w:cs="Arial"/>
          <w:sz w:val="20"/>
          <w:szCs w:val="20"/>
        </w:rPr>
        <w:t xml:space="preserve"> dveří) nedochází. Správnou montáž HS portálů a dalších typů posuvných dveří popisuje směrnice ČKLOP č. 7/2023.</w:t>
      </w:r>
    </w:p>
    <w:p w14:paraId="5FA8BE83" w14:textId="77777777" w:rsidR="00223B96" w:rsidRPr="001E0577" w:rsidRDefault="00223B96">
      <w:pPr>
        <w:rPr>
          <w:rFonts w:ascii="Arial" w:hAnsi="Arial" w:cs="Arial"/>
          <w:sz w:val="20"/>
          <w:szCs w:val="20"/>
        </w:rPr>
      </w:pPr>
    </w:p>
    <w:p w14:paraId="048D5976" w14:textId="12CBB10C" w:rsidR="006D4048" w:rsidRPr="001E0577" w:rsidRDefault="006D4048" w:rsidP="006D4048">
      <w:pPr>
        <w:pStyle w:val="Nadpis3"/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lastRenderedPageBreak/>
        <w:t>PARAPETY</w:t>
      </w:r>
    </w:p>
    <w:p w14:paraId="4B0B06B6" w14:textId="010D6005" w:rsidR="006D4048" w:rsidRPr="001E0577" w:rsidRDefault="006D4048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294281" wp14:editId="132CF242">
            <wp:extent cx="2096885" cy="2796540"/>
            <wp:effectExtent l="0" t="0" r="0" b="3810"/>
            <wp:docPr id="1131095912" name="Obrázek 13" descr="Obsah obrázku komoda, dřez, interiér, Skříň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95912" name="Obrázek 13" descr="Obsah obrázku komoda, dřez, interiér, Skříň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80" cy="27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5E34" w14:textId="1FD8F860" w:rsidR="00004F35" w:rsidRPr="001E0577" w:rsidRDefault="006D4048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i/>
          <w:iCs/>
          <w:sz w:val="20"/>
          <w:szCs w:val="20"/>
        </w:rPr>
        <w:t>„Nejvíce opomíjen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>ou částí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 montáže býv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>ají parapety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. Zejména při výměně </w:t>
      </w:r>
      <w:r w:rsidR="00481CC3" w:rsidRPr="001E0577">
        <w:rPr>
          <w:rFonts w:ascii="Arial" w:hAnsi="Arial" w:cs="Arial"/>
          <w:i/>
          <w:iCs/>
          <w:sz w:val="20"/>
          <w:szCs w:val="20"/>
        </w:rPr>
        <w:t xml:space="preserve">se nové </w:t>
      </w:r>
      <w:r w:rsidRPr="001E0577">
        <w:rPr>
          <w:rFonts w:ascii="Arial" w:hAnsi="Arial" w:cs="Arial"/>
          <w:i/>
          <w:iCs/>
          <w:sz w:val="20"/>
          <w:szCs w:val="20"/>
        </w:rPr>
        <w:t>okno</w:t>
      </w:r>
      <w:r w:rsidR="00481CC3" w:rsidRPr="001E0577">
        <w:rPr>
          <w:rFonts w:ascii="Arial" w:hAnsi="Arial" w:cs="Arial"/>
          <w:i/>
          <w:iCs/>
          <w:sz w:val="20"/>
          <w:szCs w:val="20"/>
        </w:rPr>
        <w:t xml:space="preserve"> jednoduše 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usadí na původní místo a nikdo už neřeší, že původní parapet je </w:t>
      </w:r>
      <w:r w:rsidR="00004F35" w:rsidRPr="001E0577">
        <w:rPr>
          <w:rFonts w:ascii="Arial" w:hAnsi="Arial" w:cs="Arial"/>
          <w:i/>
          <w:iCs/>
          <w:sz w:val="20"/>
          <w:szCs w:val="20"/>
        </w:rPr>
        <w:t xml:space="preserve">nyní </w:t>
      </w:r>
      <w:r w:rsidRPr="001E0577">
        <w:rPr>
          <w:rFonts w:ascii="Arial" w:hAnsi="Arial" w:cs="Arial"/>
          <w:i/>
          <w:iCs/>
          <w:sz w:val="20"/>
          <w:szCs w:val="20"/>
        </w:rPr>
        <w:t xml:space="preserve">nedostačující. V bílém obdélníku můžeme vidět bílý podkladový profil. </w:t>
      </w:r>
      <w:r w:rsidR="00481CC3" w:rsidRPr="001E0577">
        <w:rPr>
          <w:rFonts w:ascii="Arial" w:hAnsi="Arial" w:cs="Arial"/>
          <w:i/>
          <w:iCs/>
          <w:sz w:val="20"/>
          <w:szCs w:val="20"/>
        </w:rPr>
        <w:t>P</w:t>
      </w:r>
      <w:r w:rsidRPr="001E0577">
        <w:rPr>
          <w:rFonts w:ascii="Arial" w:hAnsi="Arial" w:cs="Arial"/>
          <w:i/>
          <w:iCs/>
          <w:sz w:val="20"/>
          <w:szCs w:val="20"/>
        </w:rPr>
        <w:t>arapet by ho měl výškově přesahovat,“</w:t>
      </w:r>
      <w:r w:rsidRPr="001E0577">
        <w:rPr>
          <w:rFonts w:ascii="Arial" w:hAnsi="Arial" w:cs="Arial"/>
          <w:sz w:val="20"/>
          <w:szCs w:val="20"/>
        </w:rPr>
        <w:t xml:space="preserve"> dokumentuje</w:t>
      </w:r>
      <w:r w:rsidR="001E0577" w:rsidRPr="001E0577">
        <w:rPr>
          <w:rFonts w:ascii="Arial" w:hAnsi="Arial" w:cs="Arial"/>
          <w:sz w:val="20"/>
          <w:szCs w:val="20"/>
        </w:rPr>
        <w:t xml:space="preserve"> chybu </w:t>
      </w:r>
      <w:r w:rsidRPr="001E0577">
        <w:rPr>
          <w:rFonts w:ascii="Arial" w:hAnsi="Arial" w:cs="Arial"/>
          <w:sz w:val="20"/>
          <w:szCs w:val="20"/>
        </w:rPr>
        <w:t>Richard Vácha z Deceuninck.</w:t>
      </w:r>
      <w:r w:rsidR="00481CC3" w:rsidRPr="001E0577">
        <w:rPr>
          <w:rFonts w:ascii="Arial" w:hAnsi="Arial" w:cs="Arial"/>
          <w:sz w:val="20"/>
          <w:szCs w:val="20"/>
        </w:rPr>
        <w:t xml:space="preserve"> </w:t>
      </w:r>
    </w:p>
    <w:p w14:paraId="157F276B" w14:textId="08805249" w:rsidR="00DA0B7A" w:rsidRPr="001E0577" w:rsidRDefault="00481CC3">
      <w:pPr>
        <w:rPr>
          <w:rFonts w:ascii="Arial" w:hAnsi="Arial" w:cs="Arial"/>
          <w:sz w:val="20"/>
          <w:szCs w:val="20"/>
        </w:rPr>
      </w:pPr>
      <w:r w:rsidRPr="001E0577">
        <w:rPr>
          <w:rFonts w:ascii="Arial" w:hAnsi="Arial" w:cs="Arial"/>
          <w:sz w:val="20"/>
          <w:szCs w:val="20"/>
        </w:rPr>
        <w:t>U venkovního parapetu je důležitá nejen izolace a správné kotvení, ale třeba také spádování</w:t>
      </w:r>
      <w:r w:rsidR="001E0577" w:rsidRPr="001E0577">
        <w:rPr>
          <w:rFonts w:ascii="Arial" w:hAnsi="Arial" w:cs="Arial"/>
          <w:sz w:val="20"/>
          <w:szCs w:val="20"/>
        </w:rPr>
        <w:t xml:space="preserve">, </w:t>
      </w:r>
      <w:r w:rsidR="001E0577" w:rsidRPr="001E0577">
        <w:rPr>
          <w:rFonts w:ascii="Arial" w:hAnsi="Arial" w:cs="Arial"/>
          <w:sz w:val="20"/>
          <w:szCs w:val="20"/>
        </w:rPr>
        <w:t>zatěsnění a umožnění dilatace</w:t>
      </w:r>
      <w:r w:rsidR="001E0577" w:rsidRPr="001E0577">
        <w:rPr>
          <w:rFonts w:ascii="Arial" w:hAnsi="Arial" w:cs="Arial"/>
          <w:sz w:val="20"/>
          <w:szCs w:val="20"/>
        </w:rPr>
        <w:t xml:space="preserve">. </w:t>
      </w:r>
      <w:r w:rsidR="003838CE" w:rsidRPr="001E0577">
        <w:rPr>
          <w:rFonts w:ascii="Arial" w:hAnsi="Arial" w:cs="Arial"/>
          <w:sz w:val="20"/>
          <w:szCs w:val="20"/>
        </w:rPr>
        <w:t>Špatná tepelná izolace parapetu může vést k jeho promrzání. I uvnitř pak cítíme z parapetu chlad a často to mylně připisujeme netěsnosti oken.</w:t>
      </w:r>
      <w:r w:rsidR="005B42E4" w:rsidRPr="001E0577">
        <w:rPr>
          <w:rFonts w:ascii="Arial" w:hAnsi="Arial" w:cs="Arial"/>
          <w:sz w:val="20"/>
          <w:szCs w:val="20"/>
        </w:rPr>
        <w:t xml:space="preserve"> Na směrnici pro správnou instalaci parapetů ČKLOP pracuje.</w:t>
      </w:r>
    </w:p>
    <w:sectPr w:rsidR="00DA0B7A" w:rsidRPr="001E057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4FEA84" w14:textId="77777777" w:rsidR="001B5876" w:rsidRDefault="001B5876" w:rsidP="005B42E4">
      <w:pPr>
        <w:spacing w:after="0" w:line="240" w:lineRule="auto"/>
      </w:pPr>
      <w:r>
        <w:separator/>
      </w:r>
    </w:p>
  </w:endnote>
  <w:endnote w:type="continuationSeparator" w:id="0">
    <w:p w14:paraId="419AFA3A" w14:textId="77777777" w:rsidR="001B5876" w:rsidRDefault="001B5876" w:rsidP="005B4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82933513"/>
      <w:docPartObj>
        <w:docPartGallery w:val="Page Numbers (Bottom of Page)"/>
        <w:docPartUnique/>
      </w:docPartObj>
    </w:sdtPr>
    <w:sdtEndPr/>
    <w:sdtContent>
      <w:p w14:paraId="533EDFF9" w14:textId="3E3F6834" w:rsidR="001B5876" w:rsidRDefault="001B587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F1C422" w14:textId="77777777" w:rsidR="001B5876" w:rsidRDefault="001B587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70AA7" w14:textId="77777777" w:rsidR="001B5876" w:rsidRDefault="001B5876" w:rsidP="005B42E4">
      <w:pPr>
        <w:spacing w:after="0" w:line="240" w:lineRule="auto"/>
      </w:pPr>
      <w:r>
        <w:separator/>
      </w:r>
    </w:p>
  </w:footnote>
  <w:footnote w:type="continuationSeparator" w:id="0">
    <w:p w14:paraId="14AE7ADA" w14:textId="77777777" w:rsidR="001B5876" w:rsidRDefault="001B5876" w:rsidP="005B4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C34BE1"/>
    <w:multiLevelType w:val="hybridMultilevel"/>
    <w:tmpl w:val="446065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47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9B8"/>
    <w:rsid w:val="000023B6"/>
    <w:rsid w:val="00004F35"/>
    <w:rsid w:val="000712A4"/>
    <w:rsid w:val="00083EB0"/>
    <w:rsid w:val="000A0982"/>
    <w:rsid w:val="00130AD8"/>
    <w:rsid w:val="0015726B"/>
    <w:rsid w:val="001B5876"/>
    <w:rsid w:val="001E0577"/>
    <w:rsid w:val="00202BD4"/>
    <w:rsid w:val="00223B96"/>
    <w:rsid w:val="00317D5A"/>
    <w:rsid w:val="00364BA7"/>
    <w:rsid w:val="003838CE"/>
    <w:rsid w:val="003B64EB"/>
    <w:rsid w:val="00481CC3"/>
    <w:rsid w:val="0057130C"/>
    <w:rsid w:val="005839B8"/>
    <w:rsid w:val="00585554"/>
    <w:rsid w:val="005B42E4"/>
    <w:rsid w:val="005D7558"/>
    <w:rsid w:val="00656EB9"/>
    <w:rsid w:val="006A450B"/>
    <w:rsid w:val="006D4048"/>
    <w:rsid w:val="007B1D47"/>
    <w:rsid w:val="00844657"/>
    <w:rsid w:val="008C2C96"/>
    <w:rsid w:val="008D593D"/>
    <w:rsid w:val="009A13AF"/>
    <w:rsid w:val="009A342D"/>
    <w:rsid w:val="009D3377"/>
    <w:rsid w:val="00A50108"/>
    <w:rsid w:val="00A613E1"/>
    <w:rsid w:val="00A86F71"/>
    <w:rsid w:val="00B4756F"/>
    <w:rsid w:val="00C05160"/>
    <w:rsid w:val="00C7594A"/>
    <w:rsid w:val="00C85DFD"/>
    <w:rsid w:val="00D212E0"/>
    <w:rsid w:val="00DA0B7A"/>
    <w:rsid w:val="00DF37AA"/>
    <w:rsid w:val="00E526F3"/>
    <w:rsid w:val="00E71E16"/>
    <w:rsid w:val="00F6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E3017"/>
  <w15:chartTrackingRefBased/>
  <w15:docId w15:val="{9BA6DBC0-6251-438D-B2AC-A875266F5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39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39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39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839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839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839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839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839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839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839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5839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5839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839B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839B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839B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839B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839B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839B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839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839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39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839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839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839B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839B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839B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839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839B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839B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5B4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42E4"/>
  </w:style>
  <w:style w:type="paragraph" w:styleId="Zpat">
    <w:name w:val="footer"/>
    <w:basedOn w:val="Normln"/>
    <w:link w:val="ZpatChar"/>
    <w:uiPriority w:val="99"/>
    <w:unhideWhenUsed/>
    <w:rsid w:val="005B4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42E4"/>
  </w:style>
  <w:style w:type="character" w:styleId="Odkaznakoment">
    <w:name w:val="annotation reference"/>
    <w:basedOn w:val="Standardnpsmoodstavce"/>
    <w:uiPriority w:val="99"/>
    <w:semiHidden/>
    <w:unhideWhenUsed/>
    <w:rsid w:val="009A34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A342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A342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34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342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3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342D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Standardnpsmoodstavce"/>
    <w:rsid w:val="00130AD8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970</Words>
  <Characters>5725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Rejmonová</dc:creator>
  <cp:keywords/>
  <dc:description/>
  <cp:lastModifiedBy>Markéta Rejmonová</cp:lastModifiedBy>
  <cp:revision>5</cp:revision>
  <dcterms:created xsi:type="dcterms:W3CDTF">2024-04-23T07:37:00Z</dcterms:created>
  <dcterms:modified xsi:type="dcterms:W3CDTF">2024-04-23T08:22:00Z</dcterms:modified>
</cp:coreProperties>
</file>